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海南游艇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租赁经营人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信用行为评定标准</w:t>
      </w:r>
    </w:p>
    <w:tbl>
      <w:tblPr>
        <w:tblStyle w:val="7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661"/>
        <w:gridCol w:w="1364"/>
        <w:gridCol w:w="5453"/>
        <w:gridCol w:w="1504"/>
        <w:gridCol w:w="2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tblHeader/>
        </w:trPr>
        <w:tc>
          <w:tcPr>
            <w:tcW w:w="166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1"/>
                <w:szCs w:val="21"/>
              </w:rPr>
              <w:t>一级指标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1"/>
                <w:szCs w:val="21"/>
              </w:rPr>
              <w:t>指标代码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1"/>
                <w:szCs w:val="21"/>
              </w:rPr>
              <w:t>具体指标内容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1"/>
                <w:szCs w:val="21"/>
              </w:rPr>
              <w:t>分值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1"/>
                <w:szCs w:val="21"/>
              </w:rPr>
              <w:t>信息采集渠道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  <w:t>公共信用信息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公共信用信息评价结果</w:t>
            </w:r>
          </w:p>
        </w:tc>
        <w:tc>
          <w:tcPr>
            <w:tcW w:w="832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按照《海南省公共信用分级分类管理办法（试行）》，省社会信用评价主管部门公布的评价结果。其中，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A级给予加10分，B级给予加5分，C级不加分，D级给予负10分，作为本指标得分。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海南自贸港信用信息共享平台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良好行为信息</w:t>
            </w:r>
            <w:r>
              <w:rPr>
                <w:rFonts w:ascii="仿宋_GB2312" w:hAnsi="仿宋" w:eastAsia="仿宋_GB2312" w:cs="仿宋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（Y</w:t>
            </w:r>
            <w:r>
              <w:rPr>
                <w:rFonts w:ascii="仿宋_GB2312" w:hAnsi="仿宋" w:eastAsia="仿宋_GB2312" w:cs="仿宋"/>
                <w:sz w:val="21"/>
                <w:szCs w:val="21"/>
              </w:rPr>
              <w:t>TZL1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）</w:t>
            </w:r>
          </w:p>
        </w:tc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荣誉表彰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（Y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TZL1-1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）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YTZL1-1-1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default" w:ascii="仿宋_GB2312" w:hAnsi="仿宋" w:eastAsia="仿宋_GB2312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获得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县级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以上人民政府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相关行政主管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部门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的奖项、表彰、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奖励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/次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最高限值10分）</w:t>
            </w:r>
          </w:p>
        </w:tc>
        <w:tc>
          <w:tcPr>
            <w:tcW w:w="2314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经营人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自行申报并提供证明材料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YTZL1-1-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获得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全国性或省级游艇行业协会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认定的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奖项、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表彰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、奖励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/次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最高限值4分）</w:t>
            </w:r>
          </w:p>
        </w:tc>
        <w:tc>
          <w:tcPr>
            <w:tcW w:w="2314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eastAsia="仿宋_GB2312"/>
                <w:color w:val="000000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不良行为信息</w:t>
            </w:r>
            <w:r>
              <w:rPr>
                <w:rFonts w:ascii="仿宋_GB2312" w:hAnsi="仿宋" w:eastAsia="仿宋_GB2312" w:cs="仿宋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（</w:t>
            </w:r>
            <w:r>
              <w:rPr>
                <w:rFonts w:ascii="仿宋_GB2312" w:hAnsi="仿宋" w:eastAsia="仿宋_GB2312" w:cs="仿宋"/>
                <w:sz w:val="21"/>
                <w:szCs w:val="21"/>
              </w:rPr>
              <w:t>YTZL2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）</w:t>
            </w:r>
          </w:p>
        </w:tc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直接定为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D级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行为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（Y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）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不按要求参加或拒不参加信用评价的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直接定为D级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2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违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反相关法律法规，由相关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主管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部门责令停止经营、停产停业整顿、撤销相关经营资格或吊销相关许可证件的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直接定为D级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相关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主管部门推送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经有关部门认定，因经营人原因造成安全生产、环境污染责任事故的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直接定为D级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有关部门出具的事故认定报告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被依法依规列为严重失信主体名单的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直接定为D级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相关主管部门推送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相关主管部门下发整改通知书，逾期未整改或拒不整改的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直接定为D级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相关主管部门推送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发生负面社会舆情造成恶劣影响的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直接定为D级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行业监管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（Y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）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TZL2-2-1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转让、出租、出借租赁游艇标识号牌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1</w:t>
            </w:r>
            <w:r>
              <w:rPr>
                <w:rFonts w:ascii="仿宋_GB2312" w:hAnsi="仿宋" w:eastAsia="仿宋_GB2312" w:cs="仿宋"/>
                <w:sz w:val="21"/>
                <w:szCs w:val="21"/>
              </w:rPr>
              <w:t>0/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行政执法部门推送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TZL2-2-2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未与承租人签订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有效的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游艇租赁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5/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TZL2-2-3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经相关主管部门查实的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违法违规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信息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相关主管部门推送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经营游艇租赁业务未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按照有关规定购买相关责任保险和意外伤害保险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保险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5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拒绝交通运输主管部门进行监督检查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在交通运输主管部门监督检查中，隐匿有关资料或瞒报、谎报有关情况的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10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游艇技术状况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不符合《海南省租赁游艇检验暂行规定》要求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5/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按照要求如实记载《航海日志》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海事管理机构推送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TZL2-2-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未按规定进行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租赁游艇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乘客实名制管理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安全环保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（Y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TZL2-3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）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TZL2-3-1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因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经营人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原因造成较大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以上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安全事故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20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有关部门推送事故认定报告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TZL2-3-2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因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经营人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原因造成一般安全事故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0/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有关部门推送事故认定报告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TZL2-3-3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租赁游艇超出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20海里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航行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5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default" w:ascii="仿宋_GB2312" w:hAnsi="仿宋" w:eastAsia="仿宋_GB2312" w:cs="仿宋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行政执法部门推送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TZL2-3-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未对乘员随身携带的物品进行安全检查，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或未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明确禁止乘员携带危险品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TZL2-3-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highlight w:val="none"/>
              </w:rPr>
              <w:t>未在合规的游艇码头安排人员上下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5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交通运输主管部门作出认定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TZL2-3-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经相关主管部门查实的违反法律、法规、规章规定的安全生产和防污染要求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各级海事管理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  <w:t>机构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或其他行政执法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  <w:t>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履约行为</w:t>
            </w:r>
            <w:r>
              <w:rPr>
                <w:rFonts w:ascii="仿宋_GB2312" w:hAnsi="仿宋" w:eastAsia="仿宋_GB2312" w:cs="仿宋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（Y</w:t>
            </w:r>
            <w:r>
              <w:rPr>
                <w:rFonts w:ascii="仿宋_GB2312" w:hAnsi="仿宋" w:eastAsia="仿宋_GB2312" w:cs="仿宋"/>
                <w:sz w:val="21"/>
                <w:szCs w:val="21"/>
              </w:rPr>
              <w:t>TZL2-4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）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TZL2-4-1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未提供与游艇租赁合同相符的租赁游艇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经相关行政主管部门查实的投诉举报信息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交通运输主管部门归集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；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default" w:ascii="仿宋_GB2312" w:hAnsi="仿宋" w:eastAsia="仿宋_GB2312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2.相关管理部门推送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TZL2-4-2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未按照要求为租赁游艇配备足够数量或资质合格的游艇操作人员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5/次</w:t>
            </w:r>
          </w:p>
        </w:tc>
        <w:tc>
          <w:tcPr>
            <w:tcW w:w="2314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TZL2-4-3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未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依照约定提供租赁服务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3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TZL2-4-4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未在经营服务场所显著位置进行明码标价，明确标示服务项目、租赁游艇信息、收费标准与监督电话等内容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；或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价格发生变动时，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及时调整相应标价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3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/次</w:t>
            </w:r>
          </w:p>
        </w:tc>
        <w:tc>
          <w:tcPr>
            <w:tcW w:w="2314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TZL2-4-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因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合同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履约或服务质量等问题受到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主管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部门处罚的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10/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 w:firstLine="48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TZL2-4-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both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因合同履约或服务质量等问题被新闻媒体曝光的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其他不良行为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（Y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TZL2-5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）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TZL2-5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填报或变更信用信息存在造假行为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5/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交通运输主管部门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作出认定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TZL2-5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相关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行政主管部门认定的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失信行为信息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5/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相关管理部门推送或信用网站查询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TZL2-5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违反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信用承诺和虚假承诺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  <w:t>的信息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5/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相关管理部门推送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Y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TZL2-5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各级交通运输主管部门认定的其他相关不良行为信息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ascii="仿宋_GB2312" w:hAnsi="仿宋" w:eastAsia="仿宋_GB2312" w:cs="仿宋"/>
                <w:bCs/>
                <w:sz w:val="21"/>
                <w:szCs w:val="21"/>
              </w:rPr>
            </w:pP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1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-</w:t>
            </w:r>
            <w:r>
              <w:rPr>
                <w:rFonts w:ascii="仿宋_GB2312" w:hAnsi="仿宋" w:eastAsia="仿宋_GB2312" w:cs="仿宋"/>
                <w:bCs/>
                <w:sz w:val="21"/>
                <w:szCs w:val="21"/>
              </w:rPr>
              <w:t>5/</w:t>
            </w:r>
            <w:r>
              <w:rPr>
                <w:rFonts w:hint="eastAsia" w:ascii="仿宋_GB2312" w:hAnsi="仿宋" w:eastAsia="仿宋_GB2312" w:cs="仿宋"/>
                <w:bCs/>
                <w:sz w:val="21"/>
                <w:szCs w:val="21"/>
              </w:rPr>
              <w:t>次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left="0" w:leftChars="0"/>
              <w:jc w:val="center"/>
              <w:textAlignment w:val="auto"/>
              <w:rPr>
                <w:rFonts w:hint="eastAsia" w:ascii="仿宋_GB2312" w:hAnsi="仿宋" w:eastAsia="仿宋_GB2312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交通运输主管部门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作出认定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Lines="0" w:line="300" w:lineRule="exact"/>
        <w:ind w:left="0" w:leftChars="0"/>
        <w:textAlignment w:val="auto"/>
        <w:rPr>
          <w:rFonts w:hint="eastAsia" w:ascii="仿宋_GB2312" w:hAnsi="仿宋" w:eastAsia="仿宋_GB2312" w:cs="Times New Roman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Lines="0" w:line="300" w:lineRule="exact"/>
        <w:ind w:left="0" w:leftChars="0"/>
        <w:textAlignment w:val="auto"/>
        <w:rPr>
          <w:rFonts w:hint="eastAsia" w:ascii="仿宋_GB2312" w:hAnsi="仿宋" w:eastAsia="仿宋_GB2312" w:cs="Times New Roman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Lines="0" w:line="300" w:lineRule="exact"/>
        <w:ind w:left="0" w:leftChars="0"/>
        <w:textAlignment w:val="auto"/>
        <w:rPr>
          <w:rFonts w:hint="eastAsia" w:ascii="仿宋_GB2312" w:hAnsi="仿宋" w:eastAsia="仿宋_GB2312" w:cs="Times New Roman"/>
          <w:szCs w:val="28"/>
        </w:rPr>
      </w:pPr>
      <w:r>
        <w:rPr>
          <w:rFonts w:hint="eastAsia" w:ascii="仿宋_GB2312" w:hAnsi="仿宋" w:eastAsia="仿宋_GB2312" w:cs="Times New Roman"/>
          <w:szCs w:val="28"/>
        </w:rPr>
        <w:t>说明：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300" w:lineRule="exact"/>
        <w:ind w:left="0" w:leftChars="0"/>
        <w:textAlignment w:val="auto"/>
        <w:rPr>
          <w:rFonts w:hint="eastAsia" w:ascii="仿宋_GB2312" w:hAnsi="仿宋" w:eastAsia="仿宋_GB2312" w:cs="Times New Roman"/>
          <w:szCs w:val="28"/>
          <w:lang w:eastAsia="zh-CN"/>
        </w:rPr>
      </w:pPr>
      <w:r>
        <w:rPr>
          <w:rFonts w:hint="eastAsia" w:ascii="仿宋_GB2312" w:hAnsi="仿宋" w:eastAsia="仿宋_GB2312" w:cs="Times New Roman"/>
          <w:szCs w:val="28"/>
        </w:rPr>
        <w:t>1、良好行为信息的加分“次”是指在评价</w:t>
      </w:r>
      <w:r>
        <w:rPr>
          <w:rFonts w:hint="eastAsia" w:ascii="仿宋_GB2312" w:hAnsi="仿宋" w:eastAsia="仿宋_GB2312" w:cs="Times New Roman"/>
          <w:szCs w:val="28"/>
          <w:lang w:eastAsia="zh-CN"/>
        </w:rPr>
        <w:t>周</w:t>
      </w:r>
      <w:r>
        <w:rPr>
          <w:rFonts w:hint="eastAsia" w:ascii="仿宋_GB2312" w:hAnsi="仿宋" w:eastAsia="仿宋_GB2312" w:cs="Times New Roman"/>
          <w:szCs w:val="28"/>
        </w:rPr>
        <w:t>期内从业单位的良好行为次数。针对同一</w:t>
      </w:r>
      <w:r>
        <w:rPr>
          <w:rFonts w:hint="eastAsia" w:ascii="仿宋_GB2312" w:hAnsi="仿宋" w:eastAsia="仿宋_GB2312" w:cs="Times New Roman"/>
          <w:szCs w:val="28"/>
          <w:lang w:eastAsia="zh-CN"/>
        </w:rPr>
        <w:t>事件受到表彰的</w:t>
      </w:r>
      <w:r>
        <w:rPr>
          <w:rFonts w:hint="eastAsia" w:ascii="仿宋_GB2312" w:hAnsi="仿宋" w:eastAsia="仿宋_GB2312" w:cs="Times New Roman"/>
          <w:szCs w:val="28"/>
        </w:rPr>
        <w:t>，</w:t>
      </w:r>
      <w:r>
        <w:rPr>
          <w:rFonts w:hint="eastAsia" w:ascii="仿宋_GB2312" w:hAnsi="仿宋" w:eastAsia="仿宋_GB2312" w:cs="Times New Roman"/>
          <w:szCs w:val="28"/>
          <w:lang w:eastAsia="zh-CN"/>
        </w:rPr>
        <w:t>不重复加分，按最高标准进行加分。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300" w:lineRule="exact"/>
        <w:ind w:left="0" w:leftChars="0"/>
        <w:textAlignment w:val="auto"/>
        <w:rPr>
          <w:rFonts w:ascii="仿宋_GB2312" w:hAnsi="仿宋" w:eastAsia="仿宋_GB2312" w:cs="Times New Roman"/>
          <w:szCs w:val="28"/>
        </w:rPr>
      </w:pPr>
      <w:r>
        <w:rPr>
          <w:rFonts w:hint="eastAsia" w:ascii="仿宋_GB2312" w:hAnsi="仿宋" w:eastAsia="仿宋_GB2312" w:cs="Times New Roman"/>
          <w:szCs w:val="28"/>
        </w:rPr>
        <w:t>2、不良行为信息的扣分“次”是指在评价期内发现的从业单位不良行为次数。不良行为能够整改的，</w:t>
      </w:r>
      <w:r>
        <w:rPr>
          <w:rFonts w:hint="eastAsia" w:ascii="仿宋_GB2312" w:hAnsi="仿宋" w:eastAsia="仿宋_GB2312" w:cs="Times New Roman"/>
          <w:szCs w:val="28"/>
          <w:lang w:eastAsia="zh-CN"/>
        </w:rPr>
        <w:t>同一经营人同一事件</w:t>
      </w:r>
      <w:r>
        <w:rPr>
          <w:rFonts w:hint="eastAsia" w:ascii="仿宋_GB2312" w:hAnsi="仿宋" w:eastAsia="仿宋_GB2312" w:cs="Times New Roman"/>
          <w:szCs w:val="28"/>
        </w:rPr>
        <w:t>整改期内不重复扣分</w:t>
      </w:r>
      <w:r>
        <w:rPr>
          <w:rFonts w:hint="eastAsia" w:ascii="仿宋_GB2312" w:hAnsi="仿宋" w:eastAsia="仿宋_GB2312" w:cs="Times New Roman"/>
          <w:szCs w:val="28"/>
          <w:lang w:eastAsia="zh-CN"/>
        </w:rPr>
        <w:t>；</w:t>
      </w:r>
      <w:r>
        <w:rPr>
          <w:rFonts w:hint="eastAsia" w:ascii="仿宋_GB2312" w:hAnsi="仿宋" w:eastAsia="仿宋_GB2312" w:cs="Times New Roman"/>
          <w:szCs w:val="28"/>
        </w:rPr>
        <w:t>整改期满后，未整改或再次发生同一不良行为，可再次扣分。</w:t>
      </w:r>
      <w:r>
        <w:rPr>
          <w:rFonts w:hint="eastAsia" w:ascii="仿宋_GB2312" w:hAnsi="仿宋" w:eastAsia="仿宋_GB2312" w:cs="Times New Roman"/>
          <w:szCs w:val="28"/>
          <w:lang w:eastAsia="zh-CN"/>
        </w:rPr>
        <w:t>同一不良行为</w:t>
      </w:r>
      <w:r>
        <w:rPr>
          <w:rFonts w:hint="eastAsia" w:ascii="仿宋_GB2312" w:hAnsi="仿宋" w:eastAsia="仿宋_GB2312" w:cs="Times New Roman"/>
          <w:szCs w:val="28"/>
        </w:rPr>
        <w:t>涉及两个以上扣分事项的</w:t>
      </w:r>
      <w:r>
        <w:rPr>
          <w:rFonts w:hint="eastAsia" w:ascii="仿宋_GB2312" w:hAnsi="仿宋" w:eastAsia="仿宋_GB2312" w:cs="Times New Roman"/>
          <w:szCs w:val="28"/>
          <w:lang w:eastAsia="zh-CN"/>
        </w:rPr>
        <w:t>，不重复扣分，按最高标准进行扣分</w:t>
      </w:r>
      <w:r>
        <w:rPr>
          <w:rFonts w:hint="eastAsia" w:ascii="仿宋_GB2312" w:hAnsi="仿宋" w:eastAsia="仿宋_GB2312" w:cs="Times New Roman"/>
          <w:szCs w:val="28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300" w:lineRule="exact"/>
        <w:ind w:left="0" w:leftChars="0" w:firstLine="0"/>
        <w:textAlignment w:val="auto"/>
        <w:rPr>
          <w:rFonts w:ascii="Times New Roman Regular" w:hAnsi="Times New Roman Regular" w:eastAsia="仿宋_GB2312" w:cs="Times New Roman Regular"/>
          <w:sz w:val="32"/>
          <w:szCs w:val="32"/>
        </w:rPr>
      </w:pPr>
      <w:bookmarkStart w:id="0" w:name="_Hlk90067121"/>
      <w:r>
        <w:rPr>
          <w:rFonts w:hint="eastAsia" w:ascii="仿宋_GB2312" w:hAnsi="仿宋" w:eastAsia="仿宋_GB2312" w:cs="Times New Roman"/>
          <w:szCs w:val="28"/>
        </w:rPr>
        <w:t>3、扣分事项按照“谁管理、谁采集”的要求，各行政管理部门负责记录并报送职责范围内的扣分信息。同一次不良行为被多部门记录报送的，</w:t>
      </w:r>
      <w:bookmarkStart w:id="1" w:name="_GoBack"/>
      <w:bookmarkEnd w:id="1"/>
      <w:r>
        <w:rPr>
          <w:rFonts w:hint="eastAsia" w:ascii="仿宋_GB2312" w:hAnsi="仿宋" w:eastAsia="仿宋_GB2312" w:cs="Times New Roman"/>
          <w:szCs w:val="28"/>
        </w:rPr>
        <w:t>不重复扣分。</w:t>
      </w:r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DejaVu Sans"/>
    <w:panose1 w:val="020206030500000203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ocumentProtection w:enforcement="0"/>
  <w:defaultTabStop w:val="420"/>
  <w:hyphenationZone w:val="360"/>
  <w:drawingGridHorizontalSpacing w:val="140"/>
  <w:drawingGridVerticalSpacing w:val="381"/>
  <w:displayHorizontalDrawingGridEvery w:val="1"/>
  <w:displayVerticalDrawingGridEvery w:val="1"/>
  <w:doNotShadeFormData w:val="true"/>
  <w:noPunctuationKerning w:val="true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33E01032"/>
    <w:rsid w:val="3782C18C"/>
    <w:rsid w:val="5DFD8CF4"/>
    <w:rsid w:val="5F598417"/>
    <w:rsid w:val="5FFDEB23"/>
    <w:rsid w:val="5FFF8656"/>
    <w:rsid w:val="6F6FE2BB"/>
    <w:rsid w:val="6FFF64D4"/>
    <w:rsid w:val="72CF35B8"/>
    <w:rsid w:val="757F1851"/>
    <w:rsid w:val="76BF23F5"/>
    <w:rsid w:val="77FFA7BA"/>
    <w:rsid w:val="79FFFB7A"/>
    <w:rsid w:val="7AF3DE7E"/>
    <w:rsid w:val="7BE73285"/>
    <w:rsid w:val="7BFFEB9B"/>
    <w:rsid w:val="7DD72436"/>
    <w:rsid w:val="7DFBA664"/>
    <w:rsid w:val="7EFF42B9"/>
    <w:rsid w:val="7FCB03CB"/>
    <w:rsid w:val="7FDFAD7C"/>
    <w:rsid w:val="7FDFE6FE"/>
    <w:rsid w:val="7FF37716"/>
    <w:rsid w:val="7FFDAC42"/>
    <w:rsid w:val="8DDFD57E"/>
    <w:rsid w:val="8DFFDAD2"/>
    <w:rsid w:val="957FFE31"/>
    <w:rsid w:val="9D77C302"/>
    <w:rsid w:val="9D7EBEF2"/>
    <w:rsid w:val="A98FD5E9"/>
    <w:rsid w:val="AEDBA1AE"/>
    <w:rsid w:val="AF7F4E70"/>
    <w:rsid w:val="B71FAB3D"/>
    <w:rsid w:val="BF7552D6"/>
    <w:rsid w:val="BFFF1697"/>
    <w:rsid w:val="D97A2BD3"/>
    <w:rsid w:val="DBC5C750"/>
    <w:rsid w:val="F7C3C91E"/>
    <w:rsid w:val="F7E69B06"/>
    <w:rsid w:val="FBB5954E"/>
    <w:rsid w:val="FF392916"/>
    <w:rsid w:val="FF7E5CC8"/>
    <w:rsid w:val="FFC7A4A2"/>
    <w:rsid w:val="FFDC52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220" w:beforeLines="0" w:after="210" w:afterLines="0" w:line="360" w:lineRule="auto"/>
      <w:jc w:val="center"/>
      <w:outlineLvl w:val="0"/>
    </w:pPr>
    <w:rPr>
      <w:rFonts w:ascii="Calibri" w:hAnsi="Calibri" w:eastAsia="黑体" w:cs="Times New Roman"/>
      <w:b/>
      <w:kern w:val="44"/>
      <w:sz w:val="32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 w:line="416" w:lineRule="atLeast"/>
      <w:jc w:val="left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9"/>
    <w:qFormat/>
    <w:uiPriority w:val="0"/>
    <w:pPr>
      <w:widowControl w:val="0"/>
      <w:ind w:firstLine="880" w:firstLineChars="200"/>
    </w:pPr>
    <w:rPr>
      <w:rFonts w:ascii="Calibri" w:hAnsi="Calibri" w:cs="Times New Roman"/>
      <w:kern w:val="2"/>
      <w:sz w:val="28"/>
      <w:szCs w:val="24"/>
    </w:rPr>
  </w:style>
  <w:style w:type="paragraph" w:styleId="5">
    <w:name w:val="footer"/>
    <w:basedOn w:val="1"/>
    <w:link w:val="10"/>
    <w:qFormat/>
    <w:uiPriority w:val="0"/>
    <w:pPr>
      <w:widowControl w:val="0"/>
      <w:tabs>
        <w:tab w:val="center" w:pos="4153"/>
        <w:tab w:val="right" w:pos="8306"/>
      </w:tabs>
      <w:snapToGrid w:val="0"/>
      <w:ind w:firstLine="880" w:firstLineChars="200"/>
    </w:pPr>
    <w:rPr>
      <w:rFonts w:ascii="Calibri" w:hAnsi="Calibri" w:cs="Times New Roman"/>
      <w:kern w:val="2"/>
      <w:sz w:val="18"/>
      <w:szCs w:val="18"/>
    </w:rPr>
  </w:style>
  <w:style w:type="paragraph" w:styleId="6">
    <w:name w:val="header"/>
    <w:basedOn w:val="1"/>
    <w:link w:val="1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880" w:firstLineChars="200"/>
      <w:jc w:val="center"/>
    </w:pPr>
    <w:rPr>
      <w:rFonts w:ascii="Calibri" w:hAnsi="Calibri" w:cs="Times New Roman"/>
      <w:kern w:val="2"/>
      <w:sz w:val="18"/>
      <w:szCs w:val="18"/>
    </w:rPr>
  </w:style>
  <w:style w:type="character" w:customStyle="1" w:styleId="9">
    <w:name w:val="批注文字 字符"/>
    <w:basedOn w:val="8"/>
    <w:link w:val="4"/>
    <w:qFormat/>
    <w:uiPriority w:val="0"/>
    <w:rPr>
      <w:rFonts w:ascii="Calibri" w:hAnsi="Calibri" w:cs="Times New Roman"/>
      <w:kern w:val="2"/>
      <w:sz w:val="28"/>
      <w:szCs w:val="24"/>
    </w:rPr>
  </w:style>
  <w:style w:type="character" w:customStyle="1" w:styleId="10">
    <w:name w:val="页脚 字符"/>
    <w:basedOn w:val="8"/>
    <w:link w:val="5"/>
    <w:qFormat/>
    <w:uiPriority w:val="0"/>
    <w:rPr>
      <w:rFonts w:ascii="Calibri" w:hAnsi="Calibri" w:cs="Times New Roman"/>
      <w:kern w:val="2"/>
      <w:sz w:val="18"/>
      <w:szCs w:val="18"/>
    </w:rPr>
  </w:style>
  <w:style w:type="character" w:customStyle="1" w:styleId="11">
    <w:name w:val="页眉 字符"/>
    <w:basedOn w:val="8"/>
    <w:link w:val="6"/>
    <w:qFormat/>
    <w:uiPriority w:val="0"/>
    <w:rPr>
      <w:rFonts w:ascii="Calibri" w:hAnsi="Calibri" w:cs="Times New Roman"/>
      <w:kern w:val="2"/>
      <w:sz w:val="18"/>
      <w:szCs w:val="18"/>
    </w:rPr>
  </w:style>
  <w:style w:type="character" w:customStyle="1" w:styleId="12">
    <w:name w:val="annotation reference"/>
    <w:basedOn w:val="8"/>
    <w:qFormat/>
    <w:uiPriority w:val="0"/>
    <w:rPr>
      <w:sz w:val="21"/>
      <w:szCs w:val="21"/>
    </w:rPr>
  </w:style>
  <w:style w:type="character" w:customStyle="1" w:styleId="13">
    <w:name w:val="批注主题 字符"/>
    <w:basedOn w:val="9"/>
    <w:link w:val="14"/>
    <w:qFormat/>
    <w:uiPriority w:val="0"/>
    <w:rPr>
      <w:rFonts w:ascii="Calibri" w:hAnsi="Calibri" w:cs="Times New Roman"/>
      <w:b/>
      <w:bCs/>
      <w:kern w:val="2"/>
      <w:sz w:val="28"/>
      <w:szCs w:val="24"/>
    </w:rPr>
  </w:style>
  <w:style w:type="paragraph" w:customStyle="1" w:styleId="14">
    <w:name w:val="annotation subject"/>
    <w:basedOn w:val="4"/>
    <w:next w:val="4"/>
    <w:link w:val="13"/>
    <w:qFormat/>
    <w:uiPriority w:val="0"/>
    <w:rPr>
      <w:rFonts w:ascii="Calibri" w:hAnsi="Calibri" w:cs="Times New Roman"/>
      <w:b/>
      <w:bCs/>
      <w:kern w:val="2"/>
      <w:sz w:val="28"/>
      <w:szCs w:val="24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Placeholder Text"/>
    <w:basedOn w:val="8"/>
    <w:qFormat/>
    <w:uiPriority w:val="0"/>
    <w:rPr>
      <w:color w:val="808080"/>
    </w:rPr>
  </w:style>
  <w:style w:type="paragraph" w:customStyle="1" w:styleId="17">
    <w:name w:val="Normal (Web)"/>
    <w:basedOn w:val="1"/>
    <w:qFormat/>
    <w:uiPriority w:val="0"/>
    <w:pPr>
      <w:spacing w:before="0" w:beforeLines="0" w:beforeAutospacing="0" w:after="0" w:afterLines="0" w:afterAutospacing="0"/>
      <w:ind w:left="0" w:right="0"/>
      <w:jc w:val="left"/>
    </w:pPr>
    <w:rPr>
      <w:kern w:val="0"/>
      <w:sz w:val="24"/>
      <w:lang w:val="en-US" w:eastAsia="zh-CN"/>
    </w:rPr>
  </w:style>
  <w:style w:type="paragraph" w:customStyle="1" w:styleId="18">
    <w:name w:val="Body Text Indent"/>
    <w:basedOn w:val="1"/>
    <w:qFormat/>
    <w:uiPriority w:val="0"/>
    <w:pPr>
      <w:widowControl w:val="0"/>
      <w:adjustRightInd w:val="0"/>
      <w:ind w:right="-694" w:firstLine="525" w:firstLineChars="200"/>
      <w:jc w:val="both"/>
      <w:textAlignment w:val="baseline"/>
    </w:pPr>
    <w:rPr>
      <w:rFonts w:ascii="Times New Roman" w:hAnsi="Times New Roman" w:cs="Times New Roman"/>
      <w:kern w:val="2"/>
      <w:sz w:val="28"/>
      <w:szCs w:val="20"/>
    </w:rPr>
  </w:style>
  <w:style w:type="paragraph" w:customStyle="1" w:styleId="19">
    <w:name w:val="修订1"/>
    <w:qFormat/>
    <w:uiPriority w:val="0"/>
    <w:rPr>
      <w:rFonts w:ascii="Calibri" w:hAnsi="Calibri" w:eastAsia="宋体" w:cs="Times New Roman"/>
      <w:kern w:val="2"/>
      <w:sz w:val="28"/>
      <w:szCs w:val="24"/>
      <w:lang w:val="en-US" w:eastAsia="zh-CN"/>
    </w:rPr>
  </w:style>
  <w:style w:type="paragraph" w:customStyle="1" w:styleId="20">
    <w:name w:val="修订2"/>
    <w:qFormat/>
    <w:uiPriority w:val="0"/>
    <w:rPr>
      <w:rFonts w:ascii="Calibri" w:hAnsi="Calibri" w:eastAsia="宋体" w:cs="Times New Roman"/>
      <w:kern w:val="2"/>
      <w:sz w:val="28"/>
      <w:szCs w:val="24"/>
      <w:lang w:val="en-US" w:eastAsia="zh-CN"/>
    </w:rPr>
  </w:style>
  <w:style w:type="paragraph" w:customStyle="1" w:styleId="21">
    <w:name w:val="修订3"/>
    <w:qFormat/>
    <w:uiPriority w:val="0"/>
    <w:rPr>
      <w:rFonts w:ascii="Calibri" w:hAnsi="Calibri" w:eastAsia="宋体" w:cs="Times New Roman"/>
      <w:kern w:val="2"/>
      <w:sz w:val="28"/>
      <w:szCs w:val="24"/>
      <w:lang w:val="en-US" w:eastAsia="zh-CN"/>
    </w:rPr>
  </w:style>
  <w:style w:type="paragraph" w:customStyle="1" w:styleId="22">
    <w:name w:val="Revision_65c172f2-733c-4b08-9900-5e987bbc67c5"/>
    <w:qFormat/>
    <w:uiPriority w:val="0"/>
    <w:rPr>
      <w:rFonts w:ascii="宋体" w:hAnsi="宋体" w:eastAsia="宋体" w:cs="宋体"/>
      <w:sz w:val="24"/>
      <w:szCs w:val="24"/>
      <w:lang w:val="en-US" w:eastAsia="zh-CN"/>
    </w:rPr>
  </w:style>
  <w:style w:type="paragraph" w:customStyle="1" w:styleId="23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6421</Words>
  <Characters>7091</Characters>
  <Lines>0</Lines>
  <Paragraphs>460</Paragraphs>
  <TotalTime>27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2023-09-28T17:53:00Z</dcterms:created>
  <dc:creator>sunsw</dc:creator>
  <cp:lastModifiedBy>wsm</cp:lastModifiedBy>
  <cp:lastPrinted>2023-11-09T08:52:00Z</cp:lastPrinted>
  <dcterms:modified xsi:type="dcterms:W3CDTF">2023-12-14T15:27:30Z</dcterms:modified>
  <dc:title>uos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3FCCE1455B858863C604096556555B40_43</vt:lpwstr>
  </property>
</Properties>
</file>