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固体废物污染环境防治法"/>
      <w:bookmarkEnd w:id="0"/>
      <w:r>
        <w:rPr>
          <w:rFonts w:ascii="方正小标宋简体" w:eastAsia="方正小标宋简体" w:hAnsi="方正小标宋简体" w:cs="方正小标宋简体" w:hint="eastAsia"/>
          <w:color w:val="333333"/>
          <w:sz w:val="44"/>
          <w:szCs w:val="44"/>
          <w:shd w:val="clear" w:color="auto" w:fill="FFFFFF"/>
        </w:rPr>
        <w:t>中华人民共和国固体废物污染环境防治法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工业固体废物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生活垃圾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建筑垃圾、农业固体废物等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危险废物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为了保护和改善生态环境，防治固体废物污染环境，保障公众健康，维护生态安全，推进生态文明建设，促进经济社会可持续发展，制定本法。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固体废物污染环境的防治适用本法。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固体废物污染海洋环境的防治和放射性固体废物污染环境的防治不适用本法。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国家推行绿色发展方式，促进清洁生产和循环经济发展。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国家倡导简约适度、绿色低碳的生活方式，引导公众积极参与固体废物污染环境防治。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固体废物污染环境防治坚持减量化、资源化和无害化的原则。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任何单位和个人都应当采取措施，减少固体废物的产生量，促进固体废物的综合利用，降低固体废物的危害性。</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固体废物污染环境防治坚持污染担责的原则。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产生、收集、贮存、运输、利用、处置固体废物的单位和个人，应当采取措施，防止或者减少固体废物对环境的污染，对所造成的环境污染依法承担责任。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国家推行生活垃圾分类制度。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生活垃圾分类坚持政府推动、全民参与、城乡统筹、因地制宜、简便易行的原则。</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地方各级人民政府对本行政区域固体废物污染环境防治负责。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国家实行固体废物污染环境防治目标责任制和考核评价制度，将固体废物污染环境防治目标完成情况纳入考核评价的内容。</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各级人民政府应当加强对固体废物污染环境防治工作的领导，组织、协调、督促有关部门依法履行固体废物污染环境防治监督管理职责。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省、自治区、直辖市之间可以协商建立跨行政区域固体废物污染环境的联防联控机制，统筹规划制定、设施建设、固体废物转移等工作。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国家鼓励、支持固体废物污染环境防治的科学研究、技术开发、先进技术推广和科学普及，加强固体废物污染环境防治科技支撑。</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国家机关、社会团体、企业事业单位、基层群众性自治组织和新闻媒体应当加强固体废物污染环境防治宣传教育和科学普及，增强公众固体废物污染环境防治意识。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学校应当开展生活垃圾分类以及其他固体废物污染环境防治知识普及和教育。</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各级人民政府对在固体废物污染环境防治工作以及相关的综合利用活动中做出显著成绩的单位和个人，按照国家有关规定给予表彰、奖励。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监督管理"/>
      <w:bookmarkEnd w:id="16"/>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国务院生态环境主管部门应当会同国务院有关部门根据国家环境质量标准和国家经济、技术条件，制定固体废物鉴别标准、鉴别程序和国家固体废物污染环境防治技术标准。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国务院标准化主管部门应当会同国务院发展改革、工业和信息化、生态环境、农业农村等主管部门，制定固体废物综合利用标准。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综合利用固体废物应当遵守生态环境法律法规，符合固体废物污染环境防治技术标准。使用固体废物综合利用产物应当符合国家规定的用途、标准。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国务院生态环境主管部门应当会同国务院有关部门建立全国危险废物等固体废物污染环境防治信息平台，推进固体废物收集、转移、处置等全过程监控和信息化追溯。</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建设产生、贮存、利用、处置固体废物的项目，应当依法进行环境影响评价，并遵守国家有关建设项目环境保护管理的规定。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建设单位应当依照有关法律法规的规定，对配套建设的固体废物污染环境防治设施进行验收，编制验收报告，并向社会公开。</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收集、贮存、运输、利用、处置固体废物的单位和其他生产经营者，应当加强对相关设施、设备和场所的管理和维护，保证其正常运行和使用。</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产生、收集、贮存、运输、利用、处置固体废物的单位和其他生产经营者，应当采取防扬散、防流失、防渗漏或者其他防止污染环境的措施，不得擅自倾倒、堆放、丢弃、遗撒固体废物。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禁止任何单位或者个人向江河、湖泊、运河、渠道、水库及其最高水位线以下的滩地和岸坡以及法律法规规定的其他地点倾倒、堆放、贮存固体废物。</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在生态保护红线区域、永久基本农田集中区域和其他需要特别保护的区域内，禁止建设工业固体废物、危险废物集中贮存、利用、处置的设施、场所和生活垃圾填埋场。</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禁止中华人民共和国境外的固体废物进境倾倒、堆放、处置。</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国家逐步实现固体废物零进口，由国务院生态环境主管部门会同国务院商务、发展改革、海关等主管部门组织实施。</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海关发现进口货物疑似固体废物的，可以委托专业机构开展属性鉴别，并根据鉴别结论依法管理。</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实施现场检查，可以采取现场监测、采集样品、查阅或者复制与固体废物污染环境防治相关的资料等措施。检查人员进行现场检查，应当出示证件。对现场检查中知悉的商业秘密应当保密。</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有下列情形之一，生态环境主管部门和其他负有固体废物污染环境防治监督管理职责的部门，可以对违法收集、贮存、运输、利用、处置的固体废物及设施、设备、场所、工具、物品予以查封、扣押：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（一）可能造成证据灭失、被隐匿或者非法转移的；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（二）造成或者可能造成严重环境污染的。</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生态环境主管部门应当会同有关部门建立产生、收集、贮存、运输、利用、处置固体废物的单位和其他生产经营者信用记录制度，将相关信用记录纳入全国信用信息共享平台。</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设区的市级人民政府生态环境主管部门应当会同住房城乡建设、农业农村、卫生健康等主管部门，定期向社会发布固体废物的种类、产生量、处置能力、利用处置状况等信息。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产生、收集、贮存、运输、利用、处置固体废物的单位，应当依法及时公开固体废物污染环境防治信息，主动接受社会监督。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利用、处置固体废物的单位，应当依法向公众开放设施、场所，提高公众环境保护意识和参与程度。</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县级以上人民政府应当将工业固体废物、生活垃圾、危险废物等固体废物污染环境防治情况纳入环境状况和环境保护目标完成情况年度报告，向本级人民代表大会或者人民代表大会常务委员会报告。</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任何单位和个人都有权对造成固体废物污染环境的单位和个人进行举报。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生态环境主管部门和其他负有固体废物污染环境防治监督管理职责的部门应当将固体废物污染环境防治举报方式向社会公布，方便公众举报。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接到举报的部门应当及时处理并对举报人的相关信息予以保密；对实名举报并查证属实的，给予奖励。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举报人举报所在单位的，该单位不得以解除、变更劳动合同或者其他方式对举报人进行打击报复。</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三章 工业固体废物"/>
      <w:bookmarkEnd w:id="36"/>
      <w:r>
        <w:rPr>
          <w:rFonts w:ascii="Times New Roman" w:eastAsia="黑体" w:hAnsi="Times New Roman" w:cs="黑体" w:hint="eastAsia"/>
          <w:szCs w:val="32"/>
        </w:rPr>
        <w:t>第三章　工业固体废物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列入限期淘汰名录被淘汰的设备，不得转让给他人使用。</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县级以上地方人民政府应当制定工业固体废物污染环境防治工作规划，组织建设工业固体废物集中处置等设施，推动工业固体废物污染环境防治工作。</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禁止向生活垃圾收集设施中投放工业固体废物。</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产生工业固体废物的单位委托他人运输、利用、处置工业固体废物的，应当对受托方的主体资格和技术能力进行核实，依法签订书面合同，在合同中约定污染防治要求。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受托方运输、利用、处置工业固体废物，应当依照有关法律法规的规定和合同约定履行污染防治要求，并将运输、利用、处置情况告知产生工业固体废物的单位。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产生工业固体废物的单位违反本条第一款规定的，除依照有关法律法规的规定予以处罚外，还应当与造成环境污染和生态破坏的受托方承担连带责任。</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产生工业固体废物的单位应当依法实施清洁生产审核，合理选择和利用原材料、能源和其他资源，采用先进的生产工艺和设备，减少工业固体废物的产生量，降低工业固体废物的危害性。</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产生工业固体废物的单位应当取得排污许可证。排污许可的具体办法和实施步骤由国务院规定。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建设工业固体废物贮存、处置的设施、场所，应当符合国家环境保护标准。</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产生工业固体废物的单位终止的，应当在终止前对工业固体废物的贮存、处置的设施、场所采取污染防治措施，并对未处置的工业固体废物作出妥善处置，防止污染环境。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矿山企业应当采取科学的开采方法和选矿工艺，减少尾矿、煤矸石、废石等矿业固体废物的产生量和贮存量。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国家鼓励采取先进工艺对尾矿、煤矸石、废石等矿业固体废物进行综合利用。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尾矿、煤矸石、废石等矿业固体废物贮存设施停止使用后，矿山企业应当按照国家有关环境保护等规定进行封场，防止造成环境污染和生态破坏。</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四章 生活垃圾"/>
      <w:bookmarkEnd w:id="48"/>
      <w:r>
        <w:rPr>
          <w:rFonts w:ascii="Times New Roman" w:eastAsia="黑体" w:hAnsi="Times New Roman" w:cs="黑体" w:hint="eastAsia"/>
          <w:szCs w:val="32"/>
        </w:rPr>
        <w:t>第四章　生活垃圾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县级以上地方人民政府应当加快建立分类投放、分类收集、分类运输、分类处理的生活垃圾管理系统，实现生活垃圾分类制度有效覆盖。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县级以上地方人民政府应当建立生活垃圾分类工作协调机制，加强和统筹生活垃圾分类管理能力建设。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各级人民政府及其有关部门应当组织开展生活垃圾分类宣传，教育引导公众养成生活垃圾分类习惯，督促和指导生活垃圾分类工作。</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县级以上地方人民政府应当有计划地改进燃料结构，发展清洁能源，减少燃料废渣等固体废物的产生量。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县级以上地方人民政府有关部门应当加强产品生产和流通过程管理，避免过度包装，组织净菜上市，减少生活垃圾的产生量。</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县级以上地方人民政府有关部门应当统筹规划，合理安排回收、分拣、打包网点，促进生活垃圾的回收利用工作。</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地方各级人民政府应当加强农村生活垃圾污染环境的防治，保护和改善农村人居环境。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设区的市级以上人民政府环境卫生主管部门应当制定生活垃圾清扫、收集、贮存、运输和处理设施、场所建设运行规范，发布生活垃圾分类指导目录，加强监督管理。</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县级以上地方人民政府环境卫生等主管部门应当组织对城乡生活垃圾进行清扫、收集、运输和处理，可以通过招标等方式选择具备条件的单位从事生活垃圾的清扫、收集、运输和处理。</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产生生活垃圾的单位、家庭和个人应当依法履行生活垃圾源头减量和分类投放义务，承担生活垃圾产生者责任。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任何单位和个人都应当依法在指定的地点分类投放生活垃圾。禁止随意倾倒、抛撒、堆放或者焚烧生活垃圾。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机关、事业单位等应当在生活垃圾分类工作中起示范带头作用。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已经分类投放的生活垃圾，应当按照规定分类收集、分类运输、分类处理。</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清扫、收集、运输、处理城乡生活垃圾，应当遵守国家有关环境保护和环境卫生管理的规定，防止污染环境。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从生活垃圾中分类并集中收集的有害垃圾，属于危险废物的，应当按照危险废物管理。</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从事公共交通运输的经营单位，应当及时清扫、收集运输过程中产生的生活垃圾。</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农贸市场、农产品批发市场等应当加强环境卫生管理，保持环境卫生清洁，对所产生的垃圾及时清扫、分类收集、妥善处理。</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从事城市新区开发、旧区改建和住宅小区开发建设、村镇建设的单位，以及机场、码头、车站、公园、商场、体育场馆等公共设施、场所的经营管理单位，应当按照国家有关环境卫生的规定，配套建设生活垃圾收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县级以上地方人民政府应当统筹生活垃圾公共转运、处理设施与前款规定的收集设施的有效衔接，并加强生活垃圾分类收运体系和再生资源回收体系在规划、建设、运营等方面的融合。</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从生活垃圾中回收的物质应当按照国家规定的用途、标准使用，不得用于生产可能危害人体健康的产品。</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建设生活垃圾处理设施、场所，应当符合国务院生态环境主管部门和国务院住房城乡建设主管部门规定的环境保护和环境卫生标准。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鼓励相邻地区统筹生活垃圾处理设施建设，促进生活垃圾处理设施跨行政区域共建共享。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生活垃圾处理单位应当按照国家有关规定，安装使用监测设备，实时监测污染物的排放情况，将污染排放数据实时公开。监测设备应当与所在地生态环境主管部门的监控设备联网。</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县级以上地方人民政府环境卫生主管部门负责组织开展厨余垃圾资源化、无害化处理工作。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产生、收集厨余垃圾的单位和其他生产经营者，应当将厨余垃圾交由具备相应资质条件的单位进行无害化处理。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禁止畜禽养殖场、养殖小区利用未经无害化处理的厨余垃圾饲喂畜禽。</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县级以上地方人民政府应当按照产生者付费原则，建立生活垃圾处理收费制度。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县级以上地方人民政府制定生活垃圾处理收费标准，应当根据本地实际，结合生活垃圾分类情况，体现分类计价、计量收费等差别化管理，并充分征求公众意见。生活垃圾处理收费标准应当向社会公布。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生活垃圾处理费应当专项用于生活垃圾的收集、运输和处理等，不得挪作他用。</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省、自治区、直辖市和设区的市、自治州可以结合实际，制定本地方生活垃圾具体管理办法。</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五章 建筑垃圾、农业固体废物等"/>
      <w:bookmarkEnd w:id="66"/>
      <w:r>
        <w:rPr>
          <w:rFonts w:ascii="Times New Roman" w:eastAsia="黑体" w:hAnsi="Times New Roman" w:cs="黑体" w:hint="eastAsia"/>
          <w:szCs w:val="32"/>
        </w:rPr>
        <w:t>第五章　建筑垃圾、农业固体废物等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县级以上地方人民政府应当加强建筑垃圾污染环境的防治，建立建筑垃圾分类处理制度。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县级以上地方人民政府应当制定包括源头减量、分类处理、消纳设施和场所布局及建设等在内的建筑垃圾污染环境防治工作规划。</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国家鼓励采用先进技术、工艺、设备和管理措施，推进建筑垃圾源头减量，建立建筑垃圾回收利用体系。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县级以上地方人民政府应当推动建筑垃圾综合利用产品应用。</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工程施工单位应当编制建筑垃圾处理方案，采取污染防治措施，并报县级以上地方人民政府环境卫生主管部门备案。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工程施工单位应当及时清运工程施工过程中产生的建筑垃圾等固体废物，并按照环境卫生主管部门的规定进行利用或者处置。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工程施工单位不得擅自倾倒、抛撒或者堆放工程施工过程中产生的建筑垃圾。</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县级以上人民政府农业农村主管部门负责指导农业固体废物回收利用体系建设，鼓励和引导有关单位和其他生产经营者依法收集、贮存、运输、利用、处置农业固体废物，加强监督管理，防止污染环境。</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产生秸秆、废弃农用薄膜、农药包装废弃物等农业固体废物的单位和其他生产经营者，应当采取回收利用和其他防止污染环境的措施。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从事畜禽规模养殖应当及时收集、贮存、利用或者处置养殖过程中产生的畜禽粪污等固体废物，避免造成环境污染。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禁止在人口集中地区、机场周围、交通干线附近以及当地人民政府划定的其他区域露天焚烧秸秆。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国家鼓励研究开发、生产、销售、使用在环境中可降解且无害的农用薄膜。</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国家建立电器电子、铅蓄电池、车用动力电池等产品的生产者责任延伸制度。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电器电子、铅蓄电池、车用动力电池等产品的生产者应当按照规定以自建或者委托等方式建立与产品销售量相匹配的废旧产品回收体系，并向社会公开，实现有效回收和利用。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国家鼓励产品的生产者开展生态设计，促进资源回收利用。</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国家对废弃电器电子产品等实行多渠道回收和集中处理制度。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禁止将废弃机动车船等交由不符合规定条件的企业或者个人回收、拆解。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拆解、利用、处置废弃电器电子产品、废弃机动车船等，应当遵守有关法律法规的规定，采取防止污染环境的措施。</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生产经营者应当遵守限制商品过度包装的强制性标准，避免过度包装。县级以上地方人民政府市场监督管理部门和有关部门应当按照各自职责，加强对过度包装的监督管理。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生产、销售、进口依法被列入强制回收目录的产品和包装物的企业，应当按照国家有关规定对该产品和包装物进行回收。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电子商务、快递、外卖等行业应当优先采用可重复使用、易回收利用的包装物，优化物品包装，减少包装物的使用，并积极回收利用包装物。县级以上地方人民政府商务、邮政等主管部门应当加强监督管理。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国家鼓励和引导消费者使用绿色包装和减量包装。</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国家依法禁止、限制生产、销售和使用不可降解塑料袋等一次性塑料制品。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商品零售场所开办单位、电子商务平台企业和快递企业、外卖企业应当按照国家有关规定向商务、邮政等主管部门报告塑料袋等一次性塑料制品的使用、回收情况。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国家鼓励和引导减少使用、积极回收塑料袋等一次性塑料制品，推广应用可循环、易回收、可降解的替代产品。</w:t>
      </w:r>
    </w:p>
    <w:p>
      <w:pPr>
        <w:ind w:firstLine="640" w:firstLineChars="200"/>
        <w:rPr>
          <w:rFonts w:ascii="Times New Roman" w:hAnsi="Times New Roman" w:cs="仿宋_GB2312"/>
          <w:sz w:val="32"/>
          <w:szCs w:val="32"/>
        </w:rPr>
      </w:pPr>
      <w:bookmarkStart w:id="77" w:name="第七十条"/>
      <w:bookmarkEnd w:id="77"/>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旅游、住宿等行业应当按照国家有关规定推行不主动提供一次性用品。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机关、企业事业单位等的办公场所应当使用有利于保护环境的产品、设备和设施，减少使用一次性办公用品。</w:t>
      </w:r>
    </w:p>
    <w:p>
      <w:pPr>
        <w:ind w:firstLine="640" w:firstLineChars="200"/>
        <w:rPr>
          <w:rFonts w:ascii="Times New Roman" w:hAnsi="Times New Roman" w:cs="仿宋_GB2312"/>
          <w:sz w:val="32"/>
          <w:szCs w:val="32"/>
        </w:rPr>
      </w:pPr>
      <w:bookmarkStart w:id="78" w:name="第七十一条"/>
      <w:bookmarkEnd w:id="78"/>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城镇污水处理设施维护运营单位或者污泥处理单位应当安全处理污泥，保证处理后的污泥符合国家有关标准，对污泥的流向、用途、用量等进行跟踪、记录，并报告城镇排水主管部门、生态环境主管部门。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ind w:firstLine="640" w:firstLineChars="200"/>
        <w:rPr>
          <w:rFonts w:ascii="Times New Roman" w:hAnsi="Times New Roman" w:cs="仿宋_GB2312"/>
          <w:sz w:val="32"/>
          <w:szCs w:val="32"/>
        </w:rPr>
      </w:pPr>
      <w:bookmarkStart w:id="79" w:name="第七十二条"/>
      <w:bookmarkEnd w:id="79"/>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禁止擅自倾倒、堆放、丢弃、遗撒城镇污水处理设施产生的污泥和处理后的污泥。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禁止重金属或者其他有毒有害物质含量超标的污泥进入农用地。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从事水体清淤疏浚应当按照国家有关规定处理清淤疏浚过程中产生的底泥，防止污染环境。</w:t>
      </w:r>
    </w:p>
    <w:p>
      <w:pPr>
        <w:ind w:firstLine="640" w:firstLineChars="200"/>
        <w:rPr>
          <w:rFonts w:ascii="Times New Roman" w:hAnsi="Times New Roman" w:cs="仿宋_GB2312"/>
          <w:sz w:val="32"/>
          <w:szCs w:val="32"/>
        </w:rPr>
      </w:pPr>
      <w:bookmarkStart w:id="80" w:name="第七十三条"/>
      <w:bookmarkEnd w:id="80"/>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各级各类实验室及其设立单位应当加强对实验室产生的固体废物的管理，依法收集、贮存、运输、利用、处置实验室固体废物。实验室固体废物属于危险废物的，应当按照危险废物管理。</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六章 危险废物"/>
      <w:bookmarkEnd w:id="81"/>
      <w:r>
        <w:rPr>
          <w:rFonts w:ascii="Times New Roman" w:eastAsia="黑体" w:hAnsi="Times New Roman" w:cs="黑体" w:hint="eastAsia"/>
          <w:szCs w:val="32"/>
        </w:rPr>
        <w:t>第六章　危险废物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危险废物污染环境的防治，适用本章规定；本章未作规定的，适用本法其他有关规定。</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国务院生态环境主管部门应当会同国务院有关部门制定国家危险废物名录，规定统一的危险废物鉴别标准、鉴别方法、识别标志和鉴别单位管理要求。国家危险废物名录应当动态调整。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国务院生态环境主管部门根据危险废物的危害特性和产生数量，科学评估其环境风险，实施分级分类管理，建立信息化监管体系，并通过信息化手段管理、共享危险废物转移数据和信息。</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省、自治区、直辖市人民政府应当组织有关部门编制危险废物集中处置设施、场所的建设规划，科学评估危险废物处置需求，合理布局危险废物集中处置设施、场所，确保本行政区域的危险废物得到妥善处置。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编制危险废物集中处置设施、场所的建设规划，应当征求有关行业协会、企业事业单位、专家和公众等方面的意见。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相邻省、自治区、直辖市之间可以开展区域合作，统筹建设区域性危险废物集中处置设施、场所。</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对危险废物的容器和包装物以及收集、贮存、运输、利用、处置危险废物的设施、场所，应当按照规定设置危险废物识别标志。</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产生危险废物的单位已经取得排污许可证的，执行排污许可管理制度的规定。</w:t>
      </w:r>
    </w:p>
    <w:p>
      <w:pPr>
        <w:ind w:firstLine="640" w:firstLineChars="200"/>
        <w:rPr>
          <w:rFonts w:ascii="Times New Roman" w:hAnsi="Times New Roman" w:cs="仿宋_GB2312"/>
          <w:sz w:val="32"/>
          <w:szCs w:val="32"/>
        </w:rPr>
      </w:pPr>
      <w:bookmarkStart w:id="87" w:name="第七十九条"/>
      <w:bookmarkEnd w:id="87"/>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产生危险废物的单位，应当按照国家有关规定和环境保护标准要求贮存、利用、处置危险废物，不得擅自倾倒、堆放。</w:t>
      </w: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从事收集、贮存、利用、处置危险废物经营活动的单位，应当按照国家有关规定申请取得许可证。许可证的具体管理办法由国务院制定。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禁止无许可证或者未按照许可证规定从事危险废物收集、贮存、利用、处置的经营活动。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禁止将危险废物提供或者委托给无许可证的单位或者其他生产经营者从事收集、贮存、利用、处置活动。</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收集、贮存危险废物，应当按照危险废物特性分类进行。禁止混合收集、贮存、运输、处置性质不相容而未经安全性处置的危险废物。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贮存危险废物应当采取符合国家环境保护标准的防护措施。禁止将危险废物混入非危险废物中贮存。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从事收集、贮存、利用、处置危险废物经营活动的单位，贮存危险废物不得超过一年；确需延长期限的，应当报经颁发许可证的生态环境主管部门批准；法律、行政法规另有规定的除外。</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转移危险废物的，应当按照国家有关规定填写、运行危险废物电子或者纸质转移联单。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危险废物转移管理应当全程管控、提高效率，具体办法由国务院生态环境主管部门会同国务院交通运输主管部门和公安部门制定。</w:t>
      </w:r>
    </w:p>
    <w:p>
      <w:pPr>
        <w:ind w:firstLine="640" w:firstLineChars="200"/>
        <w:rPr>
          <w:rFonts w:ascii="Times New Roman" w:hAnsi="Times New Roman" w:cs="仿宋_GB2312"/>
          <w:sz w:val="32"/>
          <w:szCs w:val="32"/>
        </w:rPr>
      </w:pPr>
      <w:bookmarkStart w:id="91" w:name="第八十三条"/>
      <w:bookmarkEnd w:id="91"/>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运输危险废物，应当采取防止污染环境的措施，并遵守国家有关危险货物运输管理的规定。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禁止将危险废物与旅客在同一运输工具上载运。</w:t>
      </w:r>
    </w:p>
    <w:p>
      <w:pPr>
        <w:ind w:firstLine="640" w:firstLineChars="200"/>
        <w:rPr>
          <w:rFonts w:ascii="Times New Roman" w:hAnsi="Times New Roman" w:cs="仿宋_GB2312"/>
          <w:sz w:val="32"/>
          <w:szCs w:val="32"/>
        </w:rPr>
      </w:pPr>
      <w:bookmarkStart w:id="92" w:name="第八十四条"/>
      <w:bookmarkEnd w:id="92"/>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收集、贮存、运输、利用、处置危险废物的场所、设施、设备和容器、包装物及其他物品转作他用时，应当按照国家有关规定经过消除污染处理，方可使用。</w:t>
      </w:r>
    </w:p>
    <w:p>
      <w:pPr>
        <w:ind w:firstLine="640" w:firstLineChars="200"/>
        <w:rPr>
          <w:rFonts w:ascii="Times New Roman" w:hAnsi="Times New Roman" w:cs="仿宋_GB2312"/>
          <w:sz w:val="32"/>
          <w:szCs w:val="32"/>
        </w:rPr>
      </w:pPr>
      <w:bookmarkStart w:id="93" w:name="第八十五条"/>
      <w:bookmarkEnd w:id="93"/>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ind w:firstLine="640" w:firstLineChars="200"/>
        <w:rPr>
          <w:rFonts w:ascii="Times New Roman" w:hAnsi="Times New Roman" w:cs="仿宋_GB2312"/>
          <w:sz w:val="32"/>
          <w:szCs w:val="32"/>
        </w:rPr>
      </w:pPr>
      <w:bookmarkStart w:id="94" w:name="第八十六条"/>
      <w:bookmarkEnd w:id="94"/>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ind w:firstLine="640" w:firstLineChars="200"/>
        <w:rPr>
          <w:rFonts w:ascii="Times New Roman" w:hAnsi="Times New Roman" w:cs="仿宋_GB2312"/>
          <w:sz w:val="32"/>
          <w:szCs w:val="32"/>
        </w:rPr>
      </w:pPr>
      <w:bookmarkStart w:id="95" w:name="第八十七条"/>
      <w:bookmarkEnd w:id="95"/>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ind w:firstLine="640" w:firstLineChars="200"/>
        <w:rPr>
          <w:rFonts w:ascii="Times New Roman" w:hAnsi="Times New Roman" w:cs="仿宋_GB2312"/>
          <w:sz w:val="32"/>
          <w:szCs w:val="32"/>
        </w:rPr>
      </w:pPr>
      <w:bookmarkStart w:id="96" w:name="第八十八条"/>
      <w:bookmarkEnd w:id="96"/>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ind w:firstLine="640" w:firstLineChars="200"/>
        <w:rPr>
          <w:rFonts w:ascii="Times New Roman" w:hAnsi="Times New Roman" w:cs="仿宋_GB2312"/>
          <w:sz w:val="32"/>
          <w:szCs w:val="32"/>
        </w:rPr>
      </w:pPr>
      <w:bookmarkStart w:id="97" w:name="第八十九条"/>
      <w:bookmarkEnd w:id="97"/>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禁止经中华人民共和国过境转移危险废物。</w:t>
      </w:r>
    </w:p>
    <w:p>
      <w:pPr>
        <w:ind w:firstLine="640" w:firstLineChars="200"/>
        <w:rPr>
          <w:rFonts w:ascii="Times New Roman" w:hAnsi="Times New Roman" w:cs="仿宋_GB2312"/>
          <w:sz w:val="32"/>
          <w:szCs w:val="32"/>
        </w:rPr>
      </w:pPr>
      <w:bookmarkStart w:id="98" w:name="第九十条"/>
      <w:bookmarkEnd w:id="98"/>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医疗废物按照国家危险废物名录管理。县级以上地方人民政府应当加强医疗废物集中处置能力建设。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县级以上人民政府卫生健康、生态环境等主管部门应当在各自职责范围内加强对医疗废物收集、贮存、运输、处置的监督管理，防止危害公众健康、污染环境。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医疗卫生机构应当依法分类收集本单位产生的医疗废物，交由医疗废物集中处置单位处置。医疗废物集中处置单位应当及时收集、运输和处置医疗废物。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医疗卫生机构和医疗废物集中处置单位，应当采取有效措施，防止医疗废物流失、泄漏、渗漏、扩散。</w:t>
      </w:r>
    </w:p>
    <w:p>
      <w:pPr>
        <w:ind w:firstLine="640" w:firstLineChars="200"/>
        <w:rPr>
          <w:rFonts w:ascii="Times New Roman" w:hAnsi="Times New Roman" w:cs="仿宋_GB2312"/>
          <w:sz w:val="32"/>
          <w:szCs w:val="32"/>
        </w:rPr>
      </w:pPr>
      <w:bookmarkStart w:id="99" w:name="第九十一条"/>
      <w:bookmarkEnd w:id="99"/>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rPr>
          <w:rFonts w:ascii="Times New Roman" w:eastAsia="宋体" w:hAnsi="Times New Roman" w:cs="宋体"/>
          <w:szCs w:val="32"/>
        </w:rPr>
      </w:pPr>
    </w:p>
    <w:p>
      <w:pPr>
        <w:jc w:val="center"/>
        <w:rPr>
          <w:rFonts w:ascii="Times New Roman" w:eastAsia="黑体" w:hAnsi="Times New Roman" w:cs="黑体"/>
          <w:szCs w:val="32"/>
        </w:rPr>
      </w:pPr>
      <w:bookmarkStart w:id="100" w:name="第七章 保障措施"/>
      <w:bookmarkEnd w:id="100"/>
      <w:r>
        <w:rPr>
          <w:rFonts w:ascii="Times New Roman" w:eastAsia="黑体" w:hAnsi="Times New Roman" w:cs="黑体" w:hint="eastAsia"/>
          <w:szCs w:val="32"/>
        </w:rPr>
        <w:t>第七章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1" w:name="第九十二条"/>
      <w:bookmarkEnd w:id="101"/>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国务院有关部门、县级以上地方人民政府及其有关部门在编制国土空间规划和相关专项规划时，应当统筹生活垃圾、建筑垃圾、危险废物等固体废物转运、集中处置等设施建设需求，保障转运、集中处置等设施用地。</w:t>
      </w:r>
    </w:p>
    <w:p>
      <w:pPr>
        <w:ind w:firstLine="640" w:firstLineChars="200"/>
        <w:rPr>
          <w:rFonts w:ascii="Times New Roman" w:hAnsi="Times New Roman" w:cs="仿宋_GB2312"/>
          <w:sz w:val="32"/>
          <w:szCs w:val="32"/>
        </w:rPr>
      </w:pPr>
      <w:bookmarkStart w:id="102" w:name="第九十三条"/>
      <w:bookmarkEnd w:id="102"/>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ind w:firstLine="640" w:firstLineChars="200"/>
        <w:rPr>
          <w:rFonts w:ascii="Times New Roman" w:hAnsi="Times New Roman" w:cs="仿宋_GB2312"/>
          <w:sz w:val="32"/>
          <w:szCs w:val="32"/>
        </w:rPr>
      </w:pPr>
      <w:bookmarkStart w:id="103" w:name="第九十四条"/>
      <w:bookmarkEnd w:id="103"/>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国家鼓励和支持科研单位、固体废物产生单位、固体废物利用单位、固体废物处置单位等联合攻关，研究开发固体废物综合利用、集中处置等的新技术，推动固体废物污染环境防治技术进步。</w:t>
      </w:r>
    </w:p>
    <w:p>
      <w:pPr>
        <w:ind w:firstLine="640" w:firstLineChars="200"/>
        <w:rPr>
          <w:rFonts w:ascii="Times New Roman" w:hAnsi="Times New Roman" w:cs="仿宋_GB2312"/>
          <w:sz w:val="32"/>
          <w:szCs w:val="32"/>
        </w:rPr>
      </w:pPr>
      <w:bookmarkStart w:id="104" w:name="第九十五条"/>
      <w:bookmarkEnd w:id="104"/>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各级人民政府应当加强固体废物污染环境的防治，按照事权划分的原则安排必要的资金用于下列事项：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（一）固体废物污染环境防治的科学研究、技术开发；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（二）生活垃圾分类；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（三）固体废物集中处置设施建设；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（四）重大传染病疫情等突发事件产生的医疗废物等危险废物应急处置；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（五）涉及固体废物污染环境防治的其他事项。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使用资金应当加强绩效管理和审计监督，确保资金使用效益。</w:t>
      </w:r>
    </w:p>
    <w:p>
      <w:pPr>
        <w:ind w:firstLine="640" w:firstLineChars="200"/>
        <w:rPr>
          <w:rFonts w:ascii="Times New Roman" w:hAnsi="Times New Roman" w:cs="仿宋_GB2312"/>
          <w:sz w:val="32"/>
          <w:szCs w:val="32"/>
        </w:rPr>
      </w:pPr>
      <w:bookmarkStart w:id="105" w:name="第九十六条"/>
      <w:bookmarkEnd w:id="105"/>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国家鼓励和支持社会力量参与固体废物污染环境防治工作，并按照国家有关规定给予政策扶持。</w:t>
      </w:r>
    </w:p>
    <w:p>
      <w:pPr>
        <w:ind w:firstLine="640" w:firstLineChars="200"/>
        <w:rPr>
          <w:rFonts w:ascii="Times New Roman" w:hAnsi="Times New Roman" w:cs="仿宋_GB2312"/>
          <w:sz w:val="32"/>
          <w:szCs w:val="32"/>
        </w:rPr>
      </w:pPr>
      <w:bookmarkStart w:id="106" w:name="第九十七条"/>
      <w:bookmarkEnd w:id="106"/>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国家发展绿色金融，鼓励金融机构加大对固体废物污染环境防治项目的信贷投放。</w:t>
      </w:r>
    </w:p>
    <w:p>
      <w:pPr>
        <w:ind w:firstLine="640" w:firstLineChars="200"/>
        <w:rPr>
          <w:rFonts w:ascii="Times New Roman" w:hAnsi="Times New Roman" w:cs="仿宋_GB2312"/>
          <w:sz w:val="32"/>
          <w:szCs w:val="32"/>
        </w:rPr>
      </w:pPr>
      <w:bookmarkStart w:id="107" w:name="第九十八条"/>
      <w:bookmarkEnd w:id="107"/>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从事固体废物综合利用等固体废物污染环境防治工作的，依照法律、行政法规的规定，享受税收优惠。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国家鼓励并提倡社会各界为防治固体废物污染环境捐赠财产，并依照法律、行政法规的规定，给予税收优惠。</w:t>
      </w:r>
    </w:p>
    <w:p>
      <w:pPr>
        <w:ind w:firstLine="640" w:firstLineChars="200"/>
        <w:rPr>
          <w:rFonts w:ascii="Times New Roman" w:hAnsi="Times New Roman" w:cs="仿宋_GB2312"/>
          <w:sz w:val="32"/>
          <w:szCs w:val="32"/>
        </w:rPr>
      </w:pPr>
      <w:bookmarkStart w:id="108" w:name="第九十九条"/>
      <w:bookmarkEnd w:id="108"/>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收集、贮存、运输、利用、处置危险废物的单位，应当按照国家有关规定，投保环境污染责任保险。</w:t>
      </w:r>
    </w:p>
    <w:p>
      <w:pPr>
        <w:ind w:firstLine="640" w:firstLineChars="200"/>
        <w:rPr>
          <w:rFonts w:ascii="Times New Roman" w:hAnsi="Times New Roman" w:cs="仿宋_GB2312"/>
          <w:sz w:val="32"/>
          <w:szCs w:val="32"/>
        </w:rPr>
      </w:pPr>
      <w:bookmarkStart w:id="109" w:name="第一百条"/>
      <w:bookmarkEnd w:id="109"/>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国家鼓励单位和个人购买、使用综合利用产品和可重复使用产品。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县级以上人民政府及其有关部门在政府采购过程中，应当优先采购综合利用产品和可重复使用产品。</w:t>
      </w:r>
    </w:p>
    <w:p>
      <w:pPr>
        <w:rPr>
          <w:rFonts w:ascii="Times New Roman" w:eastAsia="宋体" w:hAnsi="Times New Roman" w:cs="宋体"/>
          <w:szCs w:val="32"/>
        </w:rPr>
      </w:pPr>
    </w:p>
    <w:p>
      <w:pPr>
        <w:jc w:val="center"/>
        <w:rPr>
          <w:rFonts w:ascii="Times New Roman" w:eastAsia="黑体" w:hAnsi="Times New Roman" w:cs="黑体"/>
          <w:szCs w:val="32"/>
        </w:rPr>
      </w:pPr>
      <w:bookmarkStart w:id="110" w:name="第八章 法律责任"/>
      <w:bookmarkEnd w:id="110"/>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1" w:name="第一百零一条"/>
      <w:bookmarkEnd w:id="111"/>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（一）未依法作出行政许可或者办理批准文件的；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（二）对违法行为进行包庇的；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（三）未依法查封、扣押的；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（四）发现违法行为或者接到对违法行为的举报后未予查处的；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（五）有其他滥用职权、玩忽职守、徇私舞弊等违法行为的。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依照本法规定应当作出行政处罚决定而未作出的，上级主管部门可以直接作出行政处罚决定。</w:t>
      </w:r>
    </w:p>
    <w:p>
      <w:pPr>
        <w:ind w:firstLine="640" w:firstLineChars="200"/>
        <w:rPr>
          <w:rFonts w:ascii="Times New Roman" w:hAnsi="Times New Roman" w:cs="仿宋_GB2312"/>
          <w:sz w:val="32"/>
          <w:szCs w:val="32"/>
        </w:rPr>
      </w:pPr>
      <w:bookmarkStart w:id="112" w:name="第一百零二条"/>
      <w:bookmarkEnd w:id="112"/>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违反本法规定，有下列行为之一，由生态环境主管部门责令改正，处以罚款，没收违法所得；情节严重的，报经有批准权的人民政府批准，可以责令停业或者关闭：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（一）产生、收集、贮存、运输、利用、处置固体废物的单位未依法及时公开固体废物污染环境防治信息的；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（二）生活垃圾处理单位未按照国家有关规定安装使用监测设备、实时监测污染物的排放情况并公开污染排放数据的；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（三）将列入限期淘汰名录被淘汰的设备转让给他人使用的；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（四）在生态保护红线区域、永久基本农田集中区域和其他需要特别保护的区域内，建设工业固体废物、危险废物集中贮存、利用、处置的设施、场所和生活垃圾填埋场的；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（五）转移固体废物出省、自治区、直辖市行政区域贮存、处置未经批准的；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（六）转移固体废物出省、自治区、直辖市行政区域利用未报备案的；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（七）擅自倾倒、堆放、丢弃、遗撒工业固体废物，或者未采取相应防范措施，造成工业固体废物扬散、流失、渗漏或者其他环境污染的；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（八）产生工业固体废物的单位未建立固体废物管理台账并如实记录的；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（九）产生工业固体废物的单位违反本法规定委托他人运输、利用、处置工业固体废物的；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（十）贮存工业固体废物未采取符合国家环境保护标准的防护措施的；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（十一）单位和其他生产经营者违反固体废物管理其他要求，污染环境、破坏生态的。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ind w:firstLine="640" w:firstLineChars="200"/>
        <w:rPr>
          <w:rFonts w:ascii="Times New Roman" w:hAnsi="Times New Roman" w:cs="仿宋_GB2312"/>
          <w:sz w:val="32"/>
          <w:szCs w:val="32"/>
        </w:rPr>
      </w:pPr>
      <w:bookmarkStart w:id="113" w:name="第一百零三条"/>
      <w:bookmarkEnd w:id="113"/>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ind w:firstLine="640" w:firstLineChars="200"/>
        <w:rPr>
          <w:rFonts w:ascii="Times New Roman" w:hAnsi="Times New Roman" w:cs="仿宋_GB2312"/>
          <w:sz w:val="32"/>
          <w:szCs w:val="32"/>
        </w:rPr>
      </w:pPr>
      <w:bookmarkStart w:id="114" w:name="第一百零四条"/>
      <w:bookmarkEnd w:id="114"/>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ind w:firstLine="640" w:firstLineChars="200"/>
        <w:rPr>
          <w:rFonts w:ascii="Times New Roman" w:hAnsi="Times New Roman" w:cs="仿宋_GB2312"/>
          <w:sz w:val="32"/>
          <w:szCs w:val="32"/>
        </w:rPr>
      </w:pPr>
      <w:bookmarkStart w:id="115" w:name="第一百零五条"/>
      <w:bookmarkEnd w:id="115"/>
      <w:r>
        <w:rPr>
          <w:rFonts w:ascii="Times New Roman" w:eastAsia="黑体" w:hAnsi="Times New Roman" w:cs="黑体" w:hint="eastAsia"/>
          <w:sz w:val="32"/>
          <w:szCs w:val="32"/>
        </w:rPr>
        <w:t>第一百零五条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ind w:firstLine="640" w:firstLineChars="200"/>
        <w:rPr>
          <w:rFonts w:ascii="Times New Roman" w:hAnsi="Times New Roman" w:cs="仿宋_GB2312"/>
          <w:sz w:val="32"/>
          <w:szCs w:val="32"/>
        </w:rPr>
      </w:pPr>
      <w:bookmarkStart w:id="116" w:name="第一百零六条"/>
      <w:bookmarkEnd w:id="116"/>
      <w:r>
        <w:rPr>
          <w:rFonts w:ascii="Times New Roman" w:eastAsia="黑体" w:hAnsi="Times New Roman" w:cs="黑体" w:hint="eastAsia"/>
          <w:sz w:val="32"/>
          <w:szCs w:val="32"/>
        </w:rPr>
        <w:t>第一百零六条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ind w:firstLine="640" w:firstLineChars="200"/>
        <w:rPr>
          <w:rFonts w:ascii="Times New Roman" w:hAnsi="Times New Roman" w:cs="仿宋_GB2312"/>
          <w:sz w:val="32"/>
          <w:szCs w:val="32"/>
        </w:rPr>
      </w:pPr>
      <w:bookmarkStart w:id="117" w:name="第一百零七条"/>
      <w:bookmarkEnd w:id="117"/>
      <w:r>
        <w:rPr>
          <w:rFonts w:ascii="Times New Roman" w:eastAsia="黑体" w:hAnsi="Times New Roman" w:cs="黑体" w:hint="eastAsia"/>
          <w:sz w:val="32"/>
          <w:szCs w:val="32"/>
        </w:rPr>
        <w:t>第一百零七条</w:t>
      </w:r>
      <w:r>
        <w:rPr>
          <w:rFonts w:ascii="Times New Roman" w:hAnsi="Times New Roman" w:cs="仿宋_GB2312" w:hint="eastAsia"/>
          <w:sz w:val="32"/>
          <w:szCs w:val="32"/>
        </w:rPr>
        <w:t>　</w:t>
      </w:r>
      <w:r>
        <w:rPr>
          <w:rFonts w:ascii="Times New Roman" w:hAnsi="Times New Roman" w:cs="仿宋_GB2312" w:hint="eastAsia"/>
          <w:sz w:val="32"/>
          <w:szCs w:val="32"/>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ind w:firstLine="640" w:firstLineChars="200"/>
        <w:rPr>
          <w:rFonts w:ascii="Times New Roman" w:hAnsi="Times New Roman" w:cs="仿宋_GB2312"/>
          <w:sz w:val="32"/>
          <w:szCs w:val="32"/>
        </w:rPr>
      </w:pPr>
      <w:bookmarkStart w:id="118" w:name="第一百零八条"/>
      <w:bookmarkEnd w:id="118"/>
      <w:r>
        <w:rPr>
          <w:rFonts w:ascii="Times New Roman" w:eastAsia="黑体" w:hAnsi="Times New Roman" w:cs="黑体" w:hint="eastAsia"/>
          <w:sz w:val="32"/>
          <w:szCs w:val="32"/>
        </w:rPr>
        <w:t>第一百零八条</w:t>
      </w:r>
      <w:r>
        <w:rPr>
          <w:rFonts w:ascii="Times New Roman" w:hAnsi="Times New Roman" w:cs="仿宋_GB2312" w:hint="eastAsia"/>
          <w:sz w:val="32"/>
          <w:szCs w:val="32"/>
        </w:rPr>
        <w:t>　</w:t>
      </w:r>
      <w:r>
        <w:rPr>
          <w:rFonts w:ascii="Times New Roman" w:hAnsi="Times New Roman" w:cs="仿宋_GB2312" w:hint="eastAsia"/>
          <w:sz w:val="32"/>
          <w:szCs w:val="32"/>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ind w:firstLine="640" w:firstLineChars="200"/>
        <w:rPr>
          <w:rFonts w:ascii="Times New Roman" w:hAnsi="Times New Roman" w:cs="仿宋_GB2312"/>
          <w:sz w:val="32"/>
          <w:szCs w:val="32"/>
        </w:rPr>
      </w:pPr>
      <w:bookmarkStart w:id="119" w:name="第一百零九条"/>
      <w:bookmarkEnd w:id="119"/>
      <w:r>
        <w:rPr>
          <w:rFonts w:ascii="Times New Roman" w:eastAsia="黑体" w:hAnsi="Times New Roman" w:cs="黑体" w:hint="eastAsia"/>
          <w:sz w:val="32"/>
          <w:szCs w:val="32"/>
        </w:rPr>
        <w:t>第一百零九条</w:t>
      </w:r>
      <w:r>
        <w:rPr>
          <w:rFonts w:ascii="Times New Roman" w:hAnsi="Times New Roman" w:cs="仿宋_GB2312" w:hint="eastAsia"/>
          <w:sz w:val="32"/>
          <w:szCs w:val="32"/>
        </w:rPr>
        <w:t>　</w:t>
      </w:r>
      <w:r>
        <w:rPr>
          <w:rFonts w:ascii="Times New Roman" w:hAnsi="Times New Roman" w:cs="仿宋_GB2312" w:hint="eastAsia"/>
          <w:sz w:val="32"/>
          <w:szCs w:val="32"/>
        </w:rPr>
        <w:t>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ind w:firstLine="640" w:firstLineChars="200"/>
        <w:rPr>
          <w:rFonts w:ascii="Times New Roman" w:hAnsi="Times New Roman" w:cs="仿宋_GB2312"/>
          <w:sz w:val="32"/>
          <w:szCs w:val="32"/>
        </w:rPr>
      </w:pPr>
      <w:bookmarkStart w:id="120" w:name="第一百一十条"/>
      <w:bookmarkEnd w:id="120"/>
      <w:r>
        <w:rPr>
          <w:rFonts w:ascii="Times New Roman" w:eastAsia="黑体" w:hAnsi="Times New Roman" w:cs="黑体" w:hint="eastAsia"/>
          <w:sz w:val="32"/>
          <w:szCs w:val="32"/>
        </w:rPr>
        <w:t>第一百一十条</w:t>
      </w:r>
      <w:r>
        <w:rPr>
          <w:rFonts w:ascii="Times New Roman" w:hAnsi="Times New Roman" w:cs="仿宋_GB2312" w:hint="eastAsia"/>
          <w:sz w:val="32"/>
          <w:szCs w:val="32"/>
        </w:rPr>
        <w:t>　</w:t>
      </w:r>
      <w:r>
        <w:rPr>
          <w:rFonts w:ascii="Times New Roman" w:hAnsi="Times New Roman" w:cs="仿宋_GB2312" w:hint="eastAsia"/>
          <w:sz w:val="32"/>
          <w:szCs w:val="32"/>
        </w:rPr>
        <w:t>尾矿、煤矸石、废石等矿业固体废物贮存设施停止使用后，未按照国家有关环境保护规定进行封场的，由生态环境主管部门责令改正，处二十万元以上一百万元以下的罚款。</w:t>
      </w:r>
    </w:p>
    <w:p>
      <w:pPr>
        <w:ind w:firstLine="640" w:firstLineChars="200"/>
        <w:rPr>
          <w:rFonts w:ascii="Times New Roman" w:hAnsi="Times New Roman" w:cs="仿宋_GB2312"/>
          <w:sz w:val="32"/>
          <w:szCs w:val="32"/>
        </w:rPr>
      </w:pPr>
      <w:bookmarkStart w:id="121" w:name="第一百一十一条"/>
      <w:bookmarkEnd w:id="121"/>
      <w:r>
        <w:rPr>
          <w:rFonts w:ascii="Times New Roman" w:eastAsia="黑体" w:hAnsi="Times New Roman" w:cs="黑体" w:hint="eastAsia"/>
          <w:sz w:val="32"/>
          <w:szCs w:val="32"/>
        </w:rPr>
        <w:t>第一百一十一条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违反本法规定，有下列行为之一，由县级以上地方人民政府环境卫生主管部门责令改正，处以罚款，没收违法所得：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（一）随意倾倒、抛撒、堆放或者焚烧生活垃圾的；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（二）擅自关闭、闲置或者拆除生活垃圾处理设施、场所的；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（三）工程施工单位未编制建筑垃圾处理方案报备案，或者未及时清运施工过程中产生的固体废物的；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（四）工程施工单位擅自倾倒、抛撒或者堆放工程施工过程中产生的建筑垃圾，或者未按照规定对施工过程中产生的固体废物进行利用或者处置的；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（五）产生、收集厨余垃圾的单位和其他生产经营者未将厨余垃圾交由具备相应资质条件的单位进行无害化处理的；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（六）畜禽养殖场、养殖小区利用未经无害化处理的厨余垃圾饲喂畜禽的；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（七）在运输过程中沿途丢弃、遗撒生活垃圾的。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违反本法规定，未在指定的地点分类投放生活垃圾的，由县级以上地方人民政府环境卫生主管部门责令改正；情节严重的，对单位处五万元以上五十万元以下的罚款，对个人依法处以罚款。</w:t>
      </w:r>
    </w:p>
    <w:p>
      <w:pPr>
        <w:ind w:firstLine="640" w:firstLineChars="200"/>
        <w:rPr>
          <w:rFonts w:ascii="Times New Roman" w:hAnsi="Times New Roman" w:cs="仿宋_GB2312"/>
          <w:sz w:val="32"/>
          <w:szCs w:val="32"/>
        </w:rPr>
      </w:pPr>
      <w:bookmarkStart w:id="122" w:name="第一百一十二条"/>
      <w:bookmarkEnd w:id="122"/>
      <w:r>
        <w:rPr>
          <w:rFonts w:ascii="Times New Roman" w:eastAsia="黑体" w:hAnsi="Times New Roman" w:cs="黑体" w:hint="eastAsia"/>
          <w:sz w:val="32"/>
          <w:szCs w:val="32"/>
        </w:rPr>
        <w:t>第一百一十二条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违反本法规定，有下列行为之一，由生态环境主管部门责令改正，处以罚款，没收违法所得；情节严重的，报经有批准权的人民政府批准，可以责令停业或者关闭：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（一）未按照规定设置危险废物识别标志的；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（二）未按照国家有关规定制定危险废物管理计划或者申报危险废物有关资料的；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（三）擅自倾倒、堆放危险废物的；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（四）将危险废物提供或者委托给无许可证的单位或者其他生产经营者从事经营活动的；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（五）未按照国家有关规定填写、运行危险废物转移联单或者未经批准擅自转移危险废物的；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（六）未按照国家环境保护标准贮存、利用、处置危险废物或者将危险废物混入非危险废物中贮存的；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（七）未经安全性处置，混合收集、贮存、运输、处置具有不相容性质的危险废物的；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（八）将危险废物与旅客在同一运输工具上载运的；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（九）未经消除污染处理，将收集、贮存、运输、处置危险废物的场所、设施、设备和容器、包装物及其他物品转作他用的；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（十）未采取相应防范措施，造成危险废物扬散、流失、渗漏或者其他环境污染的；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（十一）在运输过程中沿途丢弃、遗撒危险废物的；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（十二）未制定危险废物意外事故防范措施和应急预案的；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（十三）未按照国家有关规定建立危险废物管理台账并如实记录的。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ind w:firstLine="640" w:firstLineChars="200"/>
        <w:rPr>
          <w:rFonts w:ascii="Times New Roman" w:hAnsi="Times New Roman" w:cs="仿宋_GB2312"/>
          <w:sz w:val="32"/>
          <w:szCs w:val="32"/>
        </w:rPr>
      </w:pPr>
      <w:bookmarkStart w:id="123" w:name="第一百一十三条"/>
      <w:bookmarkEnd w:id="123"/>
      <w:r>
        <w:rPr>
          <w:rFonts w:ascii="Times New Roman" w:eastAsia="黑体" w:hAnsi="Times New Roman" w:cs="黑体" w:hint="eastAsia"/>
          <w:sz w:val="32"/>
          <w:szCs w:val="32"/>
        </w:rPr>
        <w:t>第一百一十三条</w:t>
      </w:r>
      <w:r>
        <w:rPr>
          <w:rFonts w:ascii="Times New Roman" w:hAnsi="Times New Roman" w:cs="仿宋_GB2312" w:hint="eastAsia"/>
          <w:sz w:val="32"/>
          <w:szCs w:val="32"/>
        </w:rPr>
        <w:t>　</w:t>
      </w:r>
      <w:r>
        <w:rPr>
          <w:rFonts w:ascii="Times New Roman" w:hAnsi="Times New Roman" w:cs="仿宋_GB2312" w:hint="eastAsia"/>
          <w:sz w:val="32"/>
          <w:szCs w:val="32"/>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ind w:firstLine="640" w:firstLineChars="200"/>
        <w:rPr>
          <w:rFonts w:ascii="Times New Roman" w:hAnsi="Times New Roman" w:cs="仿宋_GB2312"/>
          <w:sz w:val="32"/>
          <w:szCs w:val="32"/>
        </w:rPr>
      </w:pPr>
      <w:bookmarkStart w:id="124" w:name="第一百一十四条"/>
      <w:bookmarkEnd w:id="124"/>
      <w:r>
        <w:rPr>
          <w:rFonts w:ascii="Times New Roman" w:eastAsia="黑体" w:hAnsi="Times New Roman" w:cs="黑体" w:hint="eastAsia"/>
          <w:sz w:val="32"/>
          <w:szCs w:val="32"/>
        </w:rPr>
        <w:t>第一百一十四条</w:t>
      </w:r>
      <w:r>
        <w:rPr>
          <w:rFonts w:ascii="Times New Roman" w:hAnsi="Times New Roman" w:cs="仿宋_GB2312" w:hint="eastAsia"/>
          <w:sz w:val="32"/>
          <w:szCs w:val="32"/>
        </w:rPr>
        <w:t>　</w:t>
      </w:r>
      <w:r>
        <w:rPr>
          <w:rFonts w:ascii="Times New Roman" w:hAnsi="Times New Roman" w:cs="仿宋_GB2312" w:hint="eastAsia"/>
          <w:sz w:val="32"/>
          <w:szCs w:val="32"/>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ind w:firstLine="640" w:firstLineChars="200"/>
        <w:rPr>
          <w:rFonts w:ascii="Times New Roman" w:hAnsi="Times New Roman" w:cs="仿宋_GB2312"/>
          <w:sz w:val="32"/>
          <w:szCs w:val="32"/>
        </w:rPr>
      </w:pPr>
      <w:bookmarkStart w:id="125" w:name="第一百一十五条"/>
      <w:bookmarkEnd w:id="125"/>
      <w:r>
        <w:rPr>
          <w:rFonts w:ascii="Times New Roman" w:eastAsia="黑体" w:hAnsi="Times New Roman" w:cs="黑体" w:hint="eastAsia"/>
          <w:sz w:val="32"/>
          <w:szCs w:val="32"/>
        </w:rPr>
        <w:t>第一百一十五条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违反本法规定，将中华人民共和国境外的固体废物输入境内的，由海关责令退运该固体废物，处五十万元以上五百万元以下的罚款。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承运人对前款规定的固体废物的退运、处置，与进口者承担连带责任。</w:t>
      </w:r>
    </w:p>
    <w:p>
      <w:pPr>
        <w:ind w:firstLine="640" w:firstLineChars="200"/>
        <w:rPr>
          <w:rFonts w:ascii="Times New Roman" w:hAnsi="Times New Roman" w:cs="仿宋_GB2312"/>
          <w:sz w:val="32"/>
          <w:szCs w:val="32"/>
        </w:rPr>
      </w:pPr>
      <w:bookmarkStart w:id="126" w:name="第一百一十六条"/>
      <w:bookmarkEnd w:id="126"/>
      <w:r>
        <w:rPr>
          <w:rFonts w:ascii="Times New Roman" w:eastAsia="黑体" w:hAnsi="Times New Roman" w:cs="黑体" w:hint="eastAsia"/>
          <w:sz w:val="32"/>
          <w:szCs w:val="32"/>
        </w:rPr>
        <w:t>第一百一十六条</w:t>
      </w:r>
      <w:r>
        <w:rPr>
          <w:rFonts w:ascii="Times New Roman" w:hAnsi="Times New Roman" w:cs="仿宋_GB2312" w:hint="eastAsia"/>
          <w:sz w:val="32"/>
          <w:szCs w:val="32"/>
        </w:rPr>
        <w:t>　</w:t>
      </w:r>
      <w:r>
        <w:rPr>
          <w:rFonts w:ascii="Times New Roman" w:hAnsi="Times New Roman" w:cs="仿宋_GB2312" w:hint="eastAsia"/>
          <w:sz w:val="32"/>
          <w:szCs w:val="32"/>
        </w:rPr>
        <w:t>违反本法规定，经中华人民共和国过境转移危险废物的，由海关责令退运该危险废物，处五十万元以上五百万元以下的罚款。</w:t>
      </w:r>
    </w:p>
    <w:p>
      <w:pPr>
        <w:ind w:firstLine="640" w:firstLineChars="200"/>
        <w:rPr>
          <w:rFonts w:ascii="Times New Roman" w:hAnsi="Times New Roman" w:cs="仿宋_GB2312"/>
          <w:sz w:val="32"/>
          <w:szCs w:val="32"/>
        </w:rPr>
      </w:pPr>
      <w:bookmarkStart w:id="127" w:name="第一百一十七条"/>
      <w:bookmarkEnd w:id="127"/>
      <w:r>
        <w:rPr>
          <w:rFonts w:ascii="Times New Roman" w:eastAsia="黑体" w:hAnsi="Times New Roman" w:cs="黑体" w:hint="eastAsia"/>
          <w:sz w:val="32"/>
          <w:szCs w:val="32"/>
        </w:rPr>
        <w:t>第一百一十七条</w:t>
      </w:r>
      <w:r>
        <w:rPr>
          <w:rFonts w:ascii="Times New Roman" w:hAnsi="Times New Roman" w:cs="仿宋_GB2312" w:hint="eastAsia"/>
          <w:sz w:val="32"/>
          <w:szCs w:val="32"/>
        </w:rPr>
        <w:t>　</w:t>
      </w:r>
      <w:r>
        <w:rPr>
          <w:rFonts w:ascii="Times New Roman" w:hAnsi="Times New Roman" w:cs="仿宋_GB2312" w:hint="eastAsia"/>
          <w:sz w:val="32"/>
          <w:szCs w:val="32"/>
        </w:rPr>
        <w:t>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ind w:firstLine="640" w:firstLineChars="200"/>
        <w:rPr>
          <w:rFonts w:ascii="Times New Roman" w:hAnsi="Times New Roman" w:cs="仿宋_GB2312"/>
          <w:sz w:val="32"/>
          <w:szCs w:val="32"/>
        </w:rPr>
      </w:pPr>
      <w:bookmarkStart w:id="128" w:name="第一百一十八条"/>
      <w:bookmarkEnd w:id="128"/>
      <w:r>
        <w:rPr>
          <w:rFonts w:ascii="Times New Roman" w:eastAsia="黑体" w:hAnsi="Times New Roman" w:cs="黑体" w:hint="eastAsia"/>
          <w:sz w:val="32"/>
          <w:szCs w:val="32"/>
        </w:rPr>
        <w:t>第一百一十八条</w:t>
      </w:r>
      <w:r>
        <w:rPr>
          <w:rFonts w:ascii="Times New Roman" w:hAnsi="Times New Roman" w:cs="仿宋_GB2312" w:hint="eastAsia"/>
          <w:sz w:val="32"/>
          <w:szCs w:val="32"/>
        </w:rPr>
        <w:t>　</w:t>
      </w:r>
      <w:r>
        <w:rPr>
          <w:rFonts w:ascii="Times New Roman" w:hAnsi="Times New Roman" w:cs="仿宋_GB2312" w:hint="eastAsia"/>
          <w:sz w:val="32"/>
          <w:szCs w:val="32"/>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ind w:firstLine="640" w:firstLineChars="200"/>
        <w:rPr>
          <w:rFonts w:ascii="Times New Roman" w:hAnsi="Times New Roman" w:cs="仿宋_GB2312"/>
          <w:sz w:val="32"/>
          <w:szCs w:val="32"/>
        </w:rPr>
      </w:pPr>
      <w:bookmarkStart w:id="129" w:name="第一百一十九条"/>
      <w:bookmarkEnd w:id="129"/>
      <w:r>
        <w:rPr>
          <w:rFonts w:ascii="Times New Roman" w:eastAsia="黑体" w:hAnsi="Times New Roman" w:cs="黑体" w:hint="eastAsia"/>
          <w:sz w:val="32"/>
          <w:szCs w:val="32"/>
        </w:rPr>
        <w:t>第一百一十九条</w:t>
      </w:r>
      <w:r>
        <w:rPr>
          <w:rFonts w:ascii="Times New Roman" w:hAnsi="Times New Roman" w:cs="仿宋_GB2312" w:hint="eastAsia"/>
          <w:sz w:val="32"/>
          <w:szCs w:val="32"/>
        </w:rPr>
        <w:t>　</w:t>
      </w:r>
      <w:r>
        <w:rPr>
          <w:rFonts w:ascii="Times New Roman" w:hAnsi="Times New Roman" w:cs="仿宋_GB2312" w:hint="eastAsia"/>
          <w:sz w:val="32"/>
          <w:szCs w:val="32"/>
        </w:rPr>
        <w:t>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ind w:firstLine="640" w:firstLineChars="200"/>
        <w:rPr>
          <w:rFonts w:ascii="Times New Roman" w:hAnsi="Times New Roman" w:cs="仿宋_GB2312"/>
          <w:sz w:val="32"/>
          <w:szCs w:val="32"/>
        </w:rPr>
      </w:pPr>
      <w:bookmarkStart w:id="130" w:name="第一百二十条"/>
      <w:bookmarkEnd w:id="130"/>
      <w:r>
        <w:rPr>
          <w:rFonts w:ascii="Times New Roman" w:eastAsia="黑体" w:hAnsi="Times New Roman" w:cs="黑体" w:hint="eastAsia"/>
          <w:sz w:val="32"/>
          <w:szCs w:val="32"/>
        </w:rPr>
        <w:t>第一百二十条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违反本法规定，有下列行为之一，尚不构成犯罪的，由公安机关对法定代表人、主要负责人、直接负责的主管人员和其他责任人员处十日以上十五日以下的拘留；情节较轻的，处五日以上十日以下的拘留：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（一）擅自倾倒、堆放、丢弃、遗撒固体废物，造成严重后果的；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（二）在生态保护红线区域、永久基本农田集中区域和其他需要特别保护的区域内，建设工业固体废物、危险废物集中贮存、利用、处置的设施、场所和生活垃圾填埋场的；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（三）将危险废物提供或者委托给无许可证的单位或者其他生产经营者堆放、利用、处置的；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（四）无许可证或者未按照许可证规定从事收集、贮存、利用、处置危险废物经营活动的；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（五）未经批准擅自转移危险废物的；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（六）未采取防范措施，造成危险废物扬散、流失、渗漏或者其他严重后果的。</w:t>
      </w:r>
    </w:p>
    <w:p>
      <w:pPr>
        <w:ind w:firstLine="640" w:firstLineChars="200"/>
        <w:rPr>
          <w:rFonts w:ascii="Times New Roman" w:hAnsi="Times New Roman" w:cs="仿宋_GB2312"/>
          <w:sz w:val="32"/>
          <w:szCs w:val="32"/>
        </w:rPr>
      </w:pPr>
      <w:bookmarkStart w:id="131" w:name="第一百二十一条"/>
      <w:bookmarkEnd w:id="131"/>
      <w:r>
        <w:rPr>
          <w:rFonts w:ascii="Times New Roman" w:eastAsia="黑体" w:hAnsi="Times New Roman" w:cs="黑体" w:hint="eastAsia"/>
          <w:sz w:val="32"/>
          <w:szCs w:val="32"/>
        </w:rPr>
        <w:t>第一百二十一条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破坏生态，损害国家利益、社会公共利益的，有关机关和组织可以依照《中华人民共和国环境保护法》、《中华人民共和国民事诉讼法》、《中华人民共和国行政诉讼法》等法律的规定向人民法院提起诉讼。</w:t>
      </w:r>
    </w:p>
    <w:p>
      <w:pPr>
        <w:ind w:firstLine="640" w:firstLineChars="200"/>
        <w:rPr>
          <w:rFonts w:ascii="Times New Roman" w:hAnsi="Times New Roman" w:cs="仿宋_GB2312"/>
          <w:sz w:val="32"/>
          <w:szCs w:val="32"/>
        </w:rPr>
      </w:pPr>
      <w:bookmarkStart w:id="132" w:name="第一百二十二条"/>
      <w:bookmarkEnd w:id="132"/>
      <w:r>
        <w:rPr>
          <w:rFonts w:ascii="Times New Roman" w:eastAsia="黑体" w:hAnsi="Times New Roman" w:cs="黑体" w:hint="eastAsia"/>
          <w:sz w:val="32"/>
          <w:szCs w:val="32"/>
        </w:rPr>
        <w:t>第一百二十二条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对于执法过程中查获的无法确定责任人或者无法退运的固体废物，由所在地县级以上地方人民政府组织处理。</w:t>
      </w:r>
    </w:p>
    <w:p>
      <w:pPr>
        <w:ind w:firstLine="640" w:firstLineChars="200"/>
        <w:rPr>
          <w:rFonts w:ascii="Times New Roman" w:hAnsi="Times New Roman" w:cs="仿宋_GB2312"/>
          <w:sz w:val="32"/>
          <w:szCs w:val="32"/>
        </w:rPr>
      </w:pPr>
      <w:bookmarkStart w:id="133" w:name="第一百二十三条"/>
      <w:bookmarkEnd w:id="133"/>
      <w:r>
        <w:rPr>
          <w:rFonts w:ascii="Times New Roman" w:eastAsia="黑体" w:hAnsi="Times New Roman" w:cs="黑体" w:hint="eastAsia"/>
          <w:sz w:val="32"/>
          <w:szCs w:val="32"/>
        </w:rPr>
        <w:t>第一百二十三条</w:t>
      </w:r>
      <w:r>
        <w:rPr>
          <w:rFonts w:ascii="Times New Roman" w:hAnsi="Times New Roman" w:cs="仿宋_GB2312" w:hint="eastAsia"/>
          <w:sz w:val="32"/>
          <w:szCs w:val="32"/>
        </w:rPr>
        <w:t>　</w:t>
      </w:r>
      <w:r>
        <w:rPr>
          <w:rFonts w:ascii="Times New Roman" w:hAnsi="Times New Roman" w:cs="仿宋_GB2312" w:hint="eastAsia"/>
          <w:sz w:val="32"/>
          <w:szCs w:val="32"/>
        </w:rPr>
        <w:t>违反本法规定，构成违反治安管理行为的，由公安机关依法给予治安管理处罚；构成犯罪的，依法追究刑事责任；造成人身、财产损害的，依法承担民事责任。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34" w:name="第九章 附则"/>
      <w:bookmarkEnd w:id="134"/>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5" w:name="第一百二十四条"/>
      <w:bookmarkEnd w:id="135"/>
      <w:r>
        <w:rPr>
          <w:rFonts w:ascii="Times New Roman" w:eastAsia="黑体" w:hAnsi="Times New Roman" w:cs="黑体" w:hint="eastAsia"/>
          <w:sz w:val="32"/>
          <w:szCs w:val="32"/>
        </w:rPr>
        <w:t>第一百二十四条</w:t>
      </w:r>
      <w:r>
        <w:rPr>
          <w:rFonts w:ascii="Times New Roman" w:hAnsi="Times New Roman" w:cs="仿宋_GB2312" w:hint="eastAsia"/>
          <w:sz w:val="32"/>
          <w:szCs w:val="32"/>
        </w:rPr>
        <w:t>　</w:t>
      </w:r>
      <w:r>
        <w:rPr>
          <w:rFonts w:ascii="Times New Roman" w:hAnsi="Times New Roman" w:cs="仿宋_GB2312" w:hint="eastAsia"/>
          <w:sz w:val="32"/>
          <w:szCs w:val="32"/>
        </w:rPr>
        <w:t>本法下列用语的含义：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（二）工业固体废物，是指在工业生产活动中产生的固体废物。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（四）建筑垃圾，是指建设单位、施工单位新建、改建、扩建和拆除各类建筑物、构筑物、管网等，以及居民装饰装修房屋过程中产生的弃土、弃料和其他固体废物。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（五）农业固体废物，是指在农业生产活动中产生的固体废物。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（六）危险废物，是指列入国家危险废物名录或者根据国家规定的危险废物鉴别标准和鉴别方法认定的具有危险特性的固体废物。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（七）贮存，是指将固体废物临时置于特定设施或者场所中的活动。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（八）利用，是指从固体废物中提取物质作为原材料或者燃料的活动。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ind w:firstLine="640" w:firstLineChars="200"/>
        <w:rPr>
          <w:rFonts w:ascii="Times New Roman" w:hAnsi="Times New Roman" w:cs="仿宋_GB2312"/>
          <w:sz w:val="32"/>
          <w:szCs w:val="32"/>
        </w:rPr>
      </w:pPr>
      <w:bookmarkStart w:id="136" w:name="第一百二十五条"/>
      <w:bookmarkEnd w:id="136"/>
      <w:r>
        <w:rPr>
          <w:rFonts w:ascii="Times New Roman" w:eastAsia="黑体" w:hAnsi="Times New Roman" w:cs="黑体" w:hint="eastAsia"/>
          <w:sz w:val="32"/>
          <w:szCs w:val="32"/>
        </w:rPr>
        <w:t>第一百二十五条</w:t>
      </w:r>
      <w:r>
        <w:rPr>
          <w:rFonts w:ascii="Times New Roman" w:hAnsi="Times New Roman" w:cs="仿宋_GB2312" w:hint="eastAsia"/>
          <w:sz w:val="32"/>
          <w:szCs w:val="32"/>
        </w:rPr>
        <w:t>　</w:t>
      </w:r>
      <w:r>
        <w:rPr>
          <w:rFonts w:ascii="Times New Roman" w:hAnsi="Times New Roman" w:cs="仿宋_GB2312" w:hint="eastAsia"/>
          <w:sz w:val="32"/>
          <w:szCs w:val="32"/>
        </w:rPr>
        <w:t>液态废物的污染防治，适用本法；但是，排入水体的废水的污染防治适用有关法律，不适用本法。</w:t>
      </w:r>
    </w:p>
    <w:p>
      <w:pPr>
        <w:ind w:firstLine="640" w:firstLineChars="200"/>
        <w:rPr>
          <w:rFonts w:ascii="Times New Roman" w:hAnsi="Times New Roman" w:cs="仿宋_GB2312"/>
          <w:sz w:val="32"/>
          <w:szCs w:val="32"/>
        </w:rPr>
      </w:pPr>
      <w:bookmarkStart w:id="137" w:name="第一百二十六条"/>
      <w:bookmarkEnd w:id="137"/>
      <w:r>
        <w:rPr>
          <w:rFonts w:ascii="Times New Roman" w:eastAsia="黑体" w:hAnsi="Times New Roman" w:cs="黑体" w:hint="eastAsia"/>
          <w:sz w:val="32"/>
          <w:szCs w:val="32"/>
        </w:rPr>
        <w:t>第一百二十六条</w:t>
      </w:r>
      <w:r>
        <w:rPr>
          <w:rFonts w:ascii="Times New Roman" w:hAnsi="Times New Roman" w:cs="仿宋_GB2312" w:hint="eastAsia"/>
          <w:sz w:val="32"/>
          <w:szCs w:val="32"/>
        </w:rPr>
        <w:t>　</w:t>
      </w:r>
      <w:r>
        <w:rPr>
          <w:rFonts w:ascii="Times New Roman" w:hAnsi="Times New Roman" w:cs="仿宋_GB2312" w:hint="eastAsia"/>
          <w:sz w:val="32"/>
          <w:szCs w:val="32"/>
        </w:rPr>
        <w:t>本法自2020年9月1日起施行。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