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黑体" w:hAnsi="ˎ̥" w:eastAsia="黑体"/>
          <w:color w:val="000000"/>
          <w:sz w:val="32"/>
          <w:szCs w:val="32"/>
          <w:highlight w:val="none"/>
          <w:lang w:val="en-US" w:eastAsia="zh-CN"/>
        </w:rPr>
      </w:pPr>
      <w:r>
        <w:rPr>
          <w:rFonts w:hint="eastAsia" w:ascii="黑体" w:hAnsi="ˎ̥" w:eastAsia="黑体"/>
          <w:color w:val="000000"/>
          <w:sz w:val="32"/>
          <w:szCs w:val="32"/>
          <w:highlight w:val="none"/>
          <w:lang w:eastAsia="zh-CN"/>
        </w:rPr>
        <w:t>附件</w:t>
      </w:r>
      <w:r>
        <w:rPr>
          <w:rFonts w:hint="eastAsia" w:ascii="黑体" w:hAnsi="ˎ̥" w:eastAsia="黑体"/>
          <w:color w:val="000000"/>
          <w:sz w:val="32"/>
          <w:szCs w:val="32"/>
          <w:highlight w:val="none"/>
          <w:lang w:val="en-US" w:eastAsia="zh-CN"/>
        </w:rPr>
        <w:t>2</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lang w:eastAsia="zh-CN"/>
        </w:rPr>
        <w:t>三亚市港航管理处</w:t>
      </w:r>
      <w:r>
        <w:rPr>
          <w:rFonts w:hint="eastAsia" w:ascii="黑体" w:hAnsi="ˎ̥" w:eastAsia="黑体"/>
          <w:color w:val="000000"/>
          <w:sz w:val="44"/>
          <w:szCs w:val="44"/>
          <w:highlight w:val="none"/>
        </w:rPr>
        <w:t>202</w:t>
      </w:r>
      <w:r>
        <w:rPr>
          <w:rFonts w:hint="eastAsia" w:ascii="黑体" w:hAnsi="ˎ̥" w:eastAsia="黑体"/>
          <w:color w:val="000000"/>
          <w:sz w:val="44"/>
          <w:szCs w:val="44"/>
          <w:highlight w:val="none"/>
          <w:lang w:val="en-US" w:eastAsia="zh-CN"/>
        </w:rPr>
        <w:t>3</w:t>
      </w:r>
      <w:r>
        <w:rPr>
          <w:rFonts w:hint="eastAsia" w:ascii="黑体" w:hAnsi="ˎ̥" w:eastAsia="黑体"/>
          <w:color w:val="000000"/>
          <w:sz w:val="44"/>
          <w:szCs w:val="44"/>
          <w:highlight w:val="none"/>
        </w:rPr>
        <w:t>年度部门决算公开</w:t>
      </w:r>
      <w:r>
        <w:rPr>
          <w:rFonts w:ascii="黑体" w:hAnsi="ˎ̥" w:eastAsia="黑体"/>
          <w:color w:val="000000"/>
          <w:sz w:val="44"/>
          <w:szCs w:val="44"/>
          <w:highlight w:val="none"/>
        </w:rPr>
        <w:t>报告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000000"/>
          <w:sz w:val="44"/>
          <w:szCs w:val="44"/>
          <w:highlight w:val="none"/>
        </w:rPr>
      </w:pPr>
      <w:bookmarkStart w:id="0" w:name="_Toc11440_WPSOffice_Type2"/>
      <w:r>
        <w:rPr>
          <w:rFonts w:hint="eastAsia" w:ascii="黑体" w:hAnsi="黑体" w:eastAsia="黑体" w:cs="黑体"/>
          <w:color w:val="000000"/>
          <w:sz w:val="44"/>
          <w:szCs w:val="44"/>
          <w:highlight w:val="none"/>
        </w:rPr>
        <w:t>目  录</w:t>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_Toc1704_WPSOffice_Level1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第一部分 基本情况</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_Toc20274_WPSOffice_Level2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一、</w:t>
      </w:r>
      <w:r>
        <w:rPr>
          <w:rFonts w:hint="eastAsia" w:ascii="仿宋" w:hAnsi="仿宋" w:eastAsia="仿宋" w:cs="仿宋"/>
          <w:color w:val="000000"/>
          <w:sz w:val="32"/>
          <w:szCs w:val="32"/>
          <w:highlight w:val="none"/>
          <w:lang w:eastAsia="zh-CN"/>
        </w:rPr>
        <w:t>单位</w:t>
      </w:r>
      <w:r>
        <w:rPr>
          <w:rFonts w:hint="eastAsia" w:ascii="仿宋" w:hAnsi="仿宋" w:eastAsia="仿宋" w:cs="仿宋"/>
          <w:color w:val="000000"/>
          <w:sz w:val="32"/>
          <w:szCs w:val="32"/>
          <w:highlight w:val="none"/>
        </w:rPr>
        <w:t>职责</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_Toc4833_WPSOffice_Level2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二、机构设置</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_Toc28253_WPSOffice_Level1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第二部分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年度部门决算公开表</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_Toc27590_WPSOffice_Level1 </w:instrText>
      </w:r>
      <w:r>
        <w:rPr>
          <w:color w:val="000000"/>
          <w:sz w:val="32"/>
          <w:szCs w:val="32"/>
          <w:highlight w:val="none"/>
        </w:rPr>
        <w:fldChar w:fldCharType="separate"/>
      </w:r>
      <w:r>
        <w:rPr>
          <w:rFonts w:hint="eastAsia" w:ascii="黑体" w:hAnsi="黑体" w:eastAsia="黑体" w:cs="黑体"/>
          <w:color w:val="000000"/>
          <w:sz w:val="32"/>
          <w:szCs w:val="32"/>
          <w:highlight w:val="none"/>
        </w:rPr>
        <w:t>第三部分</w:t>
      </w:r>
      <w:r>
        <w:rPr>
          <w:rFonts w:hint="eastAsia"/>
          <w:color w:val="000000"/>
          <w:sz w:val="32"/>
          <w:szCs w:val="32"/>
          <w:highlight w:val="none"/>
        </w:rPr>
        <w:t xml:space="preserve">  </w:t>
      </w:r>
      <w:r>
        <w:rPr>
          <w:rFonts w:hint="eastAsia" w:ascii="黑体" w:hAnsi="ˎ̥" w:eastAsia="黑体"/>
          <w:color w:val="000000"/>
          <w:sz w:val="32"/>
          <w:szCs w:val="32"/>
          <w:highlight w:val="none"/>
        </w:rPr>
        <w:t>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年度部门决算情况说明</w:t>
      </w:r>
      <w:r>
        <w:rPr>
          <w:color w:val="000000"/>
          <w:sz w:val="32"/>
          <w:szCs w:val="32"/>
          <w:highlight w:val="none"/>
        </w:rPr>
        <w:tab/>
      </w:r>
      <w:r>
        <w:rPr>
          <w:rFonts w:hint="eastAsia"/>
          <w:color w:val="000000"/>
          <w:sz w:val="32"/>
          <w:szCs w:val="32"/>
          <w:highlight w:val="none"/>
          <w:lang w:val="en-US" w:eastAsia="zh-CN"/>
        </w:rPr>
        <w:t>3</w:t>
      </w:r>
      <w:r>
        <w:rPr>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_Toc21737_WPSOffice_Level2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一、收入支出总体情况说明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二、收入决算情况说明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三、支出决算情况说明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四、财政拨款收入支出决算情况说明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五、一般公共预算财政拨款支出决算情况说明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六、一般公共预算财政拨款基本支出决算情况说明</w:t>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6</w:t>
      </w:r>
    </w:p>
    <w:p>
      <w:pPr>
        <w:pStyle w:val="7"/>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政府性基金预算财政拨款支出决算情况说明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7</w:t>
      </w:r>
    </w:p>
    <w:p>
      <w:pPr>
        <w:pStyle w:val="7"/>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国有资本经营预算财政拨款支出决算情况说明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8</w:t>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九、财政拨款“三公”经费支出决算情况说明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9</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十、预算绩效情况说明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11</w:t>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bCs/>
          <w:color w:val="000000"/>
          <w:sz w:val="32"/>
          <w:szCs w:val="32"/>
          <w:highlight w:val="none"/>
        </w:rPr>
        <w:t>十一、其他重要事项情况说明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1</w:t>
      </w:r>
      <w:r>
        <w:rPr>
          <w:rFonts w:hint="eastAsia" w:ascii="仿宋" w:hAnsi="仿宋" w:eastAsia="仿宋" w:cs="仿宋"/>
          <w:color w:val="000000"/>
          <w:sz w:val="32"/>
          <w:szCs w:val="32"/>
          <w:highlight w:val="none"/>
          <w:lang w:val="en-US" w:eastAsia="zh-CN"/>
        </w:rPr>
        <w:t>3</w:t>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黑体" w:hAnsi="ˎ̥" w:eastAsia="宋体"/>
          <w:b/>
          <w:color w:val="000000"/>
          <w:sz w:val="32"/>
          <w:szCs w:val="32"/>
          <w:highlight w:val="none"/>
          <w:lang w:val="en-US" w:eastAsia="zh-CN"/>
        </w:rPr>
      </w:pPr>
      <w:r>
        <w:rPr>
          <w:color w:val="000000"/>
          <w:sz w:val="32"/>
          <w:szCs w:val="32"/>
          <w:highlight w:val="none"/>
        </w:rPr>
        <w:fldChar w:fldCharType="begin"/>
      </w:r>
      <w:r>
        <w:rPr>
          <w:color w:val="000000"/>
          <w:sz w:val="32"/>
          <w:szCs w:val="32"/>
          <w:highlight w:val="none"/>
        </w:rPr>
        <w:instrText xml:space="preserve"> HYPERLINK \l _Toc15425_WPSOffice_Level1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第四部分  名词解释</w:t>
      </w:r>
      <w:r>
        <w:rPr>
          <w:color w:val="000000"/>
          <w:sz w:val="32"/>
          <w:szCs w:val="32"/>
          <w:highlight w:val="none"/>
        </w:rPr>
        <w:tab/>
      </w:r>
      <w:bookmarkStart w:id="1" w:name="_Toc15425_WPSOffice_Level1Page"/>
      <w:r>
        <w:rPr>
          <w:color w:val="000000"/>
          <w:sz w:val="32"/>
          <w:szCs w:val="32"/>
          <w:highlight w:val="none"/>
        </w:rPr>
        <w:t>1</w:t>
      </w:r>
      <w:bookmarkEnd w:id="1"/>
      <w:r>
        <w:rPr>
          <w:color w:val="000000"/>
          <w:sz w:val="32"/>
          <w:szCs w:val="32"/>
          <w:highlight w:val="none"/>
        </w:rPr>
        <w:fldChar w:fldCharType="end"/>
      </w:r>
      <w:bookmarkEnd w:id="0"/>
      <w:r>
        <w:rPr>
          <w:rFonts w:hint="eastAsia"/>
          <w:color w:val="000000"/>
          <w:sz w:val="32"/>
          <w:szCs w:val="32"/>
          <w:highlight w:val="none"/>
          <w:lang w:val="en-US" w:eastAsia="zh-CN"/>
        </w:rPr>
        <w:t>4</w:t>
      </w:r>
    </w:p>
    <w:p>
      <w:pPr>
        <w:jc w:val="center"/>
        <w:rPr>
          <w:rFonts w:hint="eastAsia" w:ascii="黑体" w:hAnsi="ˎ̥" w:eastAsia="黑体"/>
          <w:color w:val="000000"/>
          <w:sz w:val="32"/>
          <w:szCs w:val="32"/>
          <w:highlight w:val="none"/>
        </w:rPr>
      </w:pPr>
      <w:bookmarkStart w:id="2" w:name="_Toc22941_WPSOffice_Level1"/>
      <w:bookmarkStart w:id="3" w:name="_Toc23465_WPSOffice_Level1"/>
      <w:bookmarkStart w:id="4" w:name="_Toc10049_WPSOffice_Level1"/>
      <w:bookmarkStart w:id="5" w:name="_Toc10720_WPSOffice_Level1"/>
      <w:bookmarkStart w:id="6" w:name="_Toc1704_WPSOffice_Level1"/>
      <w:bookmarkStart w:id="7" w:name="_Toc32433_WPSOffice_Level1"/>
      <w:bookmarkStart w:id="8" w:name="_Toc24238_WPSOffice_Level2"/>
      <w:bookmarkStart w:id="9" w:name="_Toc14159_WPSOffice_Level2"/>
      <w:bookmarkStart w:id="10" w:name="_Toc20274_WPSOffice_Level2"/>
      <w:bookmarkStart w:id="11" w:name="_Toc26580_WPSOffice_Level2"/>
      <w:bookmarkStart w:id="12" w:name="_Toc20205_WPSOffice_Level2"/>
      <w:bookmarkStart w:id="13" w:name="_Toc32622_WPSOffice_Level2"/>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br w:type="page"/>
      </w:r>
      <w:r>
        <w:rPr>
          <w:rFonts w:hint="eastAsia" w:ascii="黑体" w:hAnsi="黑体" w:eastAsia="黑体" w:cs="黑体"/>
          <w:b w:val="0"/>
          <w:bCs w:val="0"/>
          <w:color w:val="000000"/>
          <w:sz w:val="32"/>
          <w:szCs w:val="32"/>
          <w:highlight w:val="none"/>
        </w:rPr>
        <w:t xml:space="preserve">第一部分  </w:t>
      </w:r>
      <w:bookmarkEnd w:id="2"/>
      <w:bookmarkEnd w:id="3"/>
      <w:bookmarkEnd w:id="4"/>
      <w:bookmarkEnd w:id="5"/>
      <w:bookmarkEnd w:id="6"/>
      <w:bookmarkEnd w:id="7"/>
      <w:r>
        <w:rPr>
          <w:rFonts w:hint="eastAsia" w:ascii="黑体" w:hAnsi="黑体" w:eastAsia="黑体" w:cs="黑体"/>
          <w:b w:val="0"/>
          <w:bCs w:val="0"/>
          <w:color w:val="000000"/>
          <w:sz w:val="32"/>
          <w:szCs w:val="32"/>
          <w:highlight w:val="none"/>
        </w:rPr>
        <w:t>基本情况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楷体" w:hAnsi="楷体" w:eastAsia="楷体" w:cs="楷体"/>
          <w:color w:val="000000"/>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w:t>
      </w:r>
      <w:bookmarkEnd w:id="8"/>
      <w:r>
        <w:rPr>
          <w:rFonts w:hint="eastAsia" w:ascii="黑体" w:hAnsi="黑体" w:eastAsia="黑体" w:cs="黑体"/>
          <w:color w:val="000000"/>
          <w:sz w:val="32"/>
          <w:szCs w:val="32"/>
          <w:highlight w:val="none"/>
        </w:rPr>
        <w:t>单位职责</w:t>
      </w:r>
      <w:bookmarkEnd w:id="9"/>
      <w:bookmarkEnd w:id="10"/>
      <w:bookmarkEnd w:id="11"/>
      <w:bookmarkEnd w:id="12"/>
      <w:bookmarkEnd w:id="13"/>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本单位隶属三亚市交通运输局下属副处级事业单位，经费来源：财政全额拨款，依据《三亚市机构编制委员会关于三亚市港口航务管理处机构编制调整问题的批复》（三编字〔2013〕82号），主要职责：</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1.贯彻执行有关港口和水路运输的方针、政策、法规；</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2.负责对全市港口企业进行执法监督、行政管理、港口公用基础设施建设维护管理，港口工程质量监督、港口经营市场秩序管理和全市水路运输行业的管理；</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3.核发《中华人民共和国港口经营许可证》、《港口危险货物作业附证》、《国内水路运输经营许可证》、《船舶营业运输证》等；</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4.对船舶运输经营资质实施管理，对业主的经营活动进行监督检查和奖惩；</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5.检查水路运输行业，各种运输船舶、港口经营人对国家和省、市人民政府下达的运输计划执行情况，协调运输合同执行中发生的问题；</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sz w:val="32"/>
          <w:szCs w:val="32"/>
        </w:rPr>
        <w:t>6.负责维护港口经营和水路运输秩序，协调运输各要素之间的平衡衔接，搞好海上运输及港口安全管理工作，查处水路重大客、货运输及港口装卸作业事故。</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color w:val="000000"/>
          <w:sz w:val="32"/>
          <w:szCs w:val="32"/>
          <w:highlight w:val="none"/>
        </w:rPr>
      </w:pPr>
      <w:bookmarkStart w:id="14" w:name="_Toc6572_WPSOffice_Level2"/>
      <w:bookmarkStart w:id="15" w:name="_Toc24059_WPSOffice_Level2"/>
      <w:bookmarkStart w:id="16" w:name="_Toc24474_WPSOffice_Level2"/>
      <w:bookmarkStart w:id="17" w:name="_Toc17796_WPSOffice_Level2"/>
      <w:bookmarkStart w:id="18" w:name="_Toc4833_WPSOffice_Level2"/>
      <w:r>
        <w:rPr>
          <w:rFonts w:hint="eastAsia" w:ascii="黑体" w:hAnsi="黑体" w:eastAsia="黑体" w:cs="黑体"/>
          <w:color w:val="000000"/>
          <w:sz w:val="32"/>
          <w:szCs w:val="32"/>
          <w:highlight w:val="none"/>
        </w:rPr>
        <w:t>二、机构设置</w:t>
      </w:r>
      <w:bookmarkEnd w:id="14"/>
      <w:bookmarkEnd w:id="15"/>
      <w:bookmarkEnd w:id="16"/>
      <w:bookmarkEnd w:id="17"/>
      <w:bookmarkEnd w:id="18"/>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sz w:val="32"/>
          <w:szCs w:val="32"/>
        </w:rPr>
        <w:t>内设办公室、港口与航运科、法治与安全科、稽查一大队、稽查二大队等5个科级职能机构。</w:t>
      </w:r>
    </w:p>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hint="eastAsia" w:ascii="黑体" w:hAnsi="ˎ̥" w:eastAsia="黑体"/>
          <w:color w:val="000000"/>
          <w:sz w:val="32"/>
          <w:szCs w:val="32"/>
          <w:highlight w:val="none"/>
        </w:rPr>
      </w:pPr>
      <w:bookmarkStart w:id="19" w:name="_Toc15521_WPSOffice_Level1"/>
      <w:bookmarkStart w:id="20" w:name="_Toc30690_WPSOffice_Level1"/>
      <w:bookmarkStart w:id="21" w:name="_Toc28253_WPSOffice_Level1"/>
      <w:bookmarkStart w:id="22" w:name="_Toc30451_WPSOffice_Level1"/>
      <w:bookmarkStart w:id="23" w:name="_Toc8164_WPSOffice_Level1"/>
      <w:bookmarkStart w:id="24" w:name="_Toc6234_WPSOffice_Level1"/>
      <w:bookmarkStart w:id="25" w:name="_Toc6211_WPSOffice_Level2"/>
      <w:bookmarkStart w:id="26" w:name="_Toc4029_WPSOffice_Level2"/>
      <w:bookmarkStart w:id="27" w:name="_Toc11518_WPSOffice_Level2"/>
      <w:bookmarkStart w:id="28" w:name="_Toc8867_WPSOffice_Level2"/>
      <w:bookmarkStart w:id="29" w:name="_Toc32695_WPSOffice_Level2"/>
      <w:bookmarkStart w:id="30" w:name="_Toc32472_WPSOffice_Level2"/>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b w:val="0"/>
          <w:bCs w:val="0"/>
          <w:color w:val="000000"/>
          <w:sz w:val="32"/>
          <w:szCs w:val="32"/>
          <w:highlight w:val="none"/>
        </w:rPr>
      </w:pPr>
      <w:r>
        <w:rPr>
          <w:rFonts w:hint="eastAsia" w:ascii="黑体" w:hAnsi="黑体" w:eastAsia="黑体" w:cs="黑体"/>
          <w:b w:val="0"/>
          <w:bCs w:val="0"/>
          <w:color w:val="000000"/>
          <w:sz w:val="32"/>
          <w:szCs w:val="32"/>
          <w:highlight w:val="none"/>
        </w:rPr>
        <w:t>第二部分  202</w:t>
      </w:r>
      <w:r>
        <w:rPr>
          <w:rFonts w:hint="eastAsia" w:ascii="黑体" w:hAnsi="黑体" w:eastAsia="黑体" w:cs="黑体"/>
          <w:b w:val="0"/>
          <w:bCs w:val="0"/>
          <w:color w:val="000000"/>
          <w:sz w:val="32"/>
          <w:szCs w:val="32"/>
          <w:highlight w:val="none"/>
          <w:lang w:val="en-US" w:eastAsia="zh-CN"/>
        </w:rPr>
        <w:t>3</w:t>
      </w:r>
      <w:r>
        <w:rPr>
          <w:rFonts w:hint="eastAsia" w:ascii="黑体" w:hAnsi="黑体" w:eastAsia="黑体" w:cs="黑体"/>
          <w:b w:val="0"/>
          <w:bCs w:val="0"/>
          <w:color w:val="000000"/>
          <w:sz w:val="32"/>
          <w:szCs w:val="32"/>
          <w:highlight w:val="none"/>
        </w:rPr>
        <w:t>年度部门决算公开报表</w:t>
      </w:r>
      <w:bookmarkEnd w:id="19"/>
      <w:bookmarkEnd w:id="20"/>
      <w:bookmarkEnd w:id="21"/>
      <w:bookmarkEnd w:id="22"/>
      <w:bookmarkEnd w:id="23"/>
      <w:bookmarkEnd w:id="24"/>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一、收入支出决算公开表</w:t>
      </w:r>
      <w:bookmarkEnd w:id="25"/>
      <w:bookmarkEnd w:id="26"/>
      <w:bookmarkEnd w:id="27"/>
      <w:bookmarkEnd w:id="28"/>
      <w:bookmarkEnd w:id="29"/>
      <w:bookmarkEnd w:id="30"/>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bookmarkStart w:id="31" w:name="_Toc28622_WPSOffice_Level2"/>
      <w:bookmarkStart w:id="32" w:name="_Toc30334_WPSOffice_Level2"/>
      <w:bookmarkStart w:id="33" w:name="_Toc26621_WPSOffice_Level2"/>
      <w:bookmarkStart w:id="34" w:name="_Toc25608_WPSOffice_Level2"/>
      <w:bookmarkStart w:id="35" w:name="_Toc23139_WPSOffice_Level2"/>
      <w:bookmarkStart w:id="36" w:name="_Toc14349_WPSOffice_Level2"/>
      <w:r>
        <w:rPr>
          <w:rFonts w:hint="eastAsia" w:ascii="黑体" w:hAnsi="黑体" w:eastAsia="黑体" w:cs="黑体"/>
          <w:color w:val="000000"/>
          <w:sz w:val="32"/>
          <w:szCs w:val="32"/>
          <w:highlight w:val="none"/>
        </w:rPr>
        <w:t>二、收入决算公开表</w:t>
      </w:r>
      <w:bookmarkEnd w:id="31"/>
      <w:bookmarkEnd w:id="32"/>
      <w:bookmarkEnd w:id="33"/>
      <w:bookmarkEnd w:id="34"/>
      <w:bookmarkEnd w:id="35"/>
      <w:bookmarkEnd w:id="36"/>
      <w:bookmarkStart w:id="37" w:name="_Toc14658_WPSOffice_Level2"/>
      <w:bookmarkStart w:id="38" w:name="_Toc13854_WPSOffice_Level2"/>
      <w:bookmarkStart w:id="39" w:name="_Toc5489_WPSOffice_Level2"/>
      <w:bookmarkStart w:id="40" w:name="_Toc17626_WPSOffice_Level2"/>
      <w:bookmarkStart w:id="41" w:name="_Toc17858_WPSOffice_Level2"/>
      <w:bookmarkStart w:id="42" w:name="_Toc3262_WPSOffice_Level2"/>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三、支出决算公开表</w:t>
      </w:r>
      <w:bookmarkEnd w:id="37"/>
      <w:bookmarkEnd w:id="38"/>
      <w:bookmarkEnd w:id="39"/>
      <w:bookmarkEnd w:id="40"/>
      <w:bookmarkEnd w:id="41"/>
      <w:bookmarkEnd w:id="42"/>
      <w:bookmarkStart w:id="43" w:name="_Toc23493_WPSOffice_Level2"/>
      <w:bookmarkStart w:id="44" w:name="_Toc13701_WPSOffice_Level2"/>
      <w:bookmarkStart w:id="45" w:name="_Toc21415_WPSOffice_Level2"/>
      <w:bookmarkStart w:id="46" w:name="_Toc7988_WPSOffice_Level2"/>
      <w:bookmarkStart w:id="47" w:name="_Toc23591_WPSOffice_Level2"/>
      <w:bookmarkStart w:id="48" w:name="_Toc4265_WPSOffice_Level2"/>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四、财政拨款收入支出决算公开表</w:t>
      </w:r>
      <w:bookmarkEnd w:id="43"/>
      <w:bookmarkEnd w:id="44"/>
      <w:bookmarkEnd w:id="45"/>
      <w:bookmarkEnd w:id="46"/>
      <w:bookmarkEnd w:id="47"/>
      <w:bookmarkEnd w:id="48"/>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bookmarkStart w:id="49" w:name="_Toc25166_WPSOffice_Level2"/>
      <w:bookmarkStart w:id="50" w:name="_Toc23829_WPSOffice_Level2"/>
      <w:bookmarkStart w:id="51" w:name="_Toc7879_WPSOffice_Level2"/>
      <w:bookmarkStart w:id="52" w:name="_Toc22783_WPSOffice_Level2"/>
      <w:bookmarkStart w:id="53" w:name="_Toc13516_WPSOffice_Level2"/>
      <w:bookmarkStart w:id="54" w:name="_Toc2158_WPSOffice_Level2"/>
      <w:r>
        <w:rPr>
          <w:rFonts w:hint="eastAsia" w:ascii="黑体" w:hAnsi="黑体" w:eastAsia="黑体" w:cs="黑体"/>
          <w:color w:val="000000"/>
          <w:sz w:val="32"/>
          <w:szCs w:val="32"/>
          <w:highlight w:val="none"/>
        </w:rPr>
        <w:t>五、一般公共预算财政拨款收入支出决算</w:t>
      </w:r>
      <w:bookmarkEnd w:id="49"/>
      <w:bookmarkEnd w:id="50"/>
      <w:bookmarkEnd w:id="51"/>
      <w:bookmarkEnd w:id="52"/>
      <w:r>
        <w:rPr>
          <w:rFonts w:hint="eastAsia" w:ascii="黑体" w:hAnsi="黑体" w:eastAsia="黑体" w:cs="黑体"/>
          <w:color w:val="000000"/>
          <w:sz w:val="32"/>
          <w:szCs w:val="32"/>
          <w:highlight w:val="none"/>
        </w:rPr>
        <w:t>公开表</w:t>
      </w:r>
      <w:bookmarkEnd w:id="53"/>
      <w:bookmarkEnd w:id="54"/>
      <w:bookmarkStart w:id="55" w:name="_Toc8373_WPSOffice_Level2"/>
      <w:bookmarkStart w:id="56" w:name="_Toc17283_WPSOffice_Level2"/>
      <w:bookmarkStart w:id="57" w:name="_Toc17833_WPSOffice_Level2"/>
      <w:bookmarkStart w:id="58" w:name="_Toc25362_WPSOffice_Level2"/>
      <w:bookmarkStart w:id="59" w:name="_Toc5343_WPSOffice_Level2"/>
      <w:bookmarkStart w:id="60" w:name="_Toc2632_WPSOffice_Level2"/>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六、一般公共预算财政拨款基本支出决算</w:t>
      </w:r>
      <w:bookmarkEnd w:id="55"/>
      <w:bookmarkEnd w:id="56"/>
      <w:bookmarkEnd w:id="57"/>
      <w:bookmarkEnd w:id="58"/>
      <w:bookmarkEnd w:id="59"/>
      <w:bookmarkEnd w:id="60"/>
      <w:r>
        <w:rPr>
          <w:rFonts w:hint="eastAsia" w:ascii="黑体" w:hAnsi="黑体" w:eastAsia="黑体" w:cs="黑体"/>
          <w:color w:val="000000"/>
          <w:sz w:val="32"/>
          <w:szCs w:val="32"/>
          <w:highlight w:val="none"/>
        </w:rPr>
        <w:t>公开表</w:t>
      </w:r>
      <w:bookmarkStart w:id="61" w:name="_Toc6020_WPSOffice_Level2"/>
      <w:bookmarkStart w:id="62" w:name="_Toc11799_WPSOffice_Level2"/>
      <w:bookmarkStart w:id="63" w:name="_Toc5594_WPSOffice_Level2"/>
      <w:bookmarkStart w:id="64" w:name="_Toc1533_WPSOffice_Level2"/>
      <w:bookmarkStart w:id="65" w:name="_Toc13345_WPSOffice_Level2"/>
      <w:bookmarkStart w:id="66" w:name="_Toc21310_WPSOffice_Level2"/>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七、政府性基金预算财政拨款收入支出决算</w:t>
      </w:r>
      <w:bookmarkEnd w:id="61"/>
      <w:bookmarkEnd w:id="62"/>
      <w:bookmarkEnd w:id="63"/>
      <w:bookmarkEnd w:id="64"/>
      <w:bookmarkEnd w:id="65"/>
      <w:bookmarkEnd w:id="66"/>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240" w:lineRule="auto"/>
        <w:ind w:left="0" w:leftChars="0"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八、国有资本经营预算财政拨款收入支出决算公开表</w:t>
      </w:r>
    </w:p>
    <w:p>
      <w:pPr>
        <w:keepNext w:val="0"/>
        <w:keepLines w:val="0"/>
        <w:pageBreakBefore w:val="0"/>
        <w:kinsoku/>
        <w:wordWrap/>
        <w:overflowPunct/>
        <w:topLinePunct w:val="0"/>
        <w:autoSpaceDE/>
        <w:autoSpaceDN/>
        <w:bidi w:val="0"/>
        <w:adjustRightInd/>
        <w:snapToGrid/>
        <w:spacing w:line="240" w:lineRule="auto"/>
        <w:ind w:left="0" w:leftChars="0" w:firstLine="640"/>
        <w:textAlignment w:val="auto"/>
        <w:rPr>
          <w:rFonts w:hint="eastAsia" w:ascii="黑体" w:hAnsi="黑体" w:eastAsia="黑体" w:cs="黑体"/>
          <w:color w:val="000000"/>
          <w:sz w:val="32"/>
          <w:szCs w:val="32"/>
          <w:highlight w:val="none"/>
        </w:rPr>
      </w:pPr>
      <w:bookmarkStart w:id="67" w:name="_Toc1820_WPSOffice_Level2"/>
      <w:bookmarkStart w:id="68" w:name="_Toc29886_WPSOffice_Level2"/>
      <w:bookmarkStart w:id="69" w:name="_Toc9377_WPSOffice_Level2"/>
      <w:bookmarkStart w:id="70" w:name="_Toc19961_WPSOffice_Level2"/>
      <w:r>
        <w:rPr>
          <w:rFonts w:hint="eastAsia" w:ascii="黑体" w:hAnsi="黑体" w:eastAsia="黑体" w:cs="黑体"/>
          <w:color w:val="000000"/>
          <w:sz w:val="32"/>
          <w:szCs w:val="32"/>
          <w:highlight w:val="none"/>
        </w:rPr>
        <w:t>九、财政拨款“三公”经费支出决算</w:t>
      </w:r>
      <w:bookmarkEnd w:id="67"/>
      <w:bookmarkEnd w:id="68"/>
      <w:bookmarkEnd w:id="69"/>
      <w:bookmarkEnd w:id="70"/>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240" w:lineRule="auto"/>
        <w:ind w:left="0" w:leftChars="0" w:firstLine="640"/>
        <w:textAlignment w:val="auto"/>
        <w:rPr>
          <w:rFonts w:hint="eastAsia" w:ascii="黑体" w:hAnsi="黑体" w:eastAsia="黑体" w:cs="黑体"/>
          <w:color w:val="000000"/>
          <w:sz w:val="32"/>
          <w:szCs w:val="32"/>
          <w:highlight w:val="none"/>
        </w:rPr>
      </w:pPr>
      <w:r>
        <w:rPr>
          <w:rFonts w:hint="eastAsia" w:ascii="黑体" w:hAnsi="黑体" w:eastAsia="黑体" w:cs="黑体"/>
          <w:color w:val="000000"/>
          <w:w w:val="96"/>
          <w:sz w:val="32"/>
          <w:szCs w:val="32"/>
          <w:highlight w:val="none"/>
        </w:rPr>
        <w:t>以上报表见附件</w:t>
      </w:r>
      <w:r>
        <w:rPr>
          <w:rFonts w:hint="eastAsia" w:ascii="黑体" w:hAnsi="黑体" w:eastAsia="黑体" w:cs="黑体"/>
          <w:color w:val="000000"/>
          <w:w w:val="96"/>
          <w:sz w:val="32"/>
          <w:szCs w:val="32"/>
          <w:highlight w:val="none"/>
          <w:lang w:val="en-US" w:eastAsia="zh-CN"/>
        </w:rPr>
        <w:t>1</w:t>
      </w:r>
      <w:r>
        <w:rPr>
          <w:rFonts w:hint="eastAsia" w:ascii="黑体" w:hAnsi="黑体" w:eastAsia="黑体" w:cs="黑体"/>
          <w:color w:val="000000"/>
          <w:w w:val="96"/>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textAlignment w:val="auto"/>
        <w:rPr>
          <w:rFonts w:hint="eastAsia" w:ascii="黑体" w:hAnsi="黑体" w:eastAsia="黑体" w:cs="黑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方正小标宋简体" w:hAnsi="方正小标宋简体" w:eastAsia="方正小标宋简体" w:cs="方正小标宋简体"/>
          <w:color w:val="000000"/>
          <w:sz w:val="32"/>
          <w:szCs w:val="32"/>
          <w:highlight w:val="none"/>
        </w:rPr>
      </w:pPr>
      <w:bookmarkStart w:id="71" w:name="_Toc28629_WPSOffice_Level1"/>
      <w:bookmarkStart w:id="72" w:name="_Toc27590_WPSOffice_Level1"/>
      <w:bookmarkStart w:id="73" w:name="_Toc29683_WPSOffice_Level1"/>
      <w:bookmarkStart w:id="74" w:name="_Toc4402_WPSOffice_Level1"/>
      <w:bookmarkStart w:id="75" w:name="_Toc16686_WPSOffice_Level1"/>
      <w:bookmarkStart w:id="76" w:name="_Toc31264_WPSOffice_Level1"/>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方正小标宋简体" w:hAnsi="方正小标宋简体" w:eastAsia="方正小标宋简体" w:cs="方正小标宋简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方正小标宋简体" w:hAnsi="方正小标宋简体" w:eastAsia="方正小标宋简体" w:cs="方正小标宋简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方正小标宋简体" w:hAnsi="方正小标宋简体" w:eastAsia="方正小标宋简体" w:cs="方正小标宋简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方正小标宋简体" w:hAnsi="方正小标宋简体" w:eastAsia="方正小标宋简体" w:cs="方正小标宋简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第三部分  202</w:t>
      </w:r>
      <w:r>
        <w:rPr>
          <w:rFonts w:hint="eastAsia" w:ascii="黑体" w:hAnsi="黑体" w:eastAsia="黑体" w:cs="黑体"/>
          <w:color w:val="000000"/>
          <w:sz w:val="32"/>
          <w:szCs w:val="32"/>
          <w:highlight w:val="none"/>
          <w:lang w:val="en-US" w:eastAsia="zh-CN"/>
        </w:rPr>
        <w:t>3</w:t>
      </w:r>
      <w:r>
        <w:rPr>
          <w:rFonts w:hint="eastAsia" w:ascii="黑体" w:hAnsi="黑体" w:eastAsia="黑体" w:cs="黑体"/>
          <w:color w:val="000000"/>
          <w:sz w:val="32"/>
          <w:szCs w:val="32"/>
          <w:highlight w:val="none"/>
        </w:rPr>
        <w:t>年度部门决算情况说明</w:t>
      </w:r>
      <w:bookmarkEnd w:id="71"/>
      <w:bookmarkEnd w:id="72"/>
      <w:bookmarkEnd w:id="73"/>
      <w:bookmarkEnd w:id="74"/>
      <w:bookmarkEnd w:id="75"/>
      <w:bookmarkEnd w:id="76"/>
    </w:p>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hint="eastAsia" w:ascii="黑体" w:hAnsi="ˎ̥" w:eastAsia="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一、收入支出总体情况说明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FF0000"/>
          <w:sz w:val="32"/>
          <w:szCs w:val="32"/>
          <w:lang w:eastAsia="zh-CN"/>
        </w:rPr>
      </w:pP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年度收入总计</w:t>
      </w:r>
      <w:r>
        <w:rPr>
          <w:rFonts w:hint="default" w:ascii="Times New Roman" w:hAnsi="Times New Roman" w:eastAsia="仿宋_GB2312" w:cs="Times New Roman"/>
          <w:color w:val="auto"/>
          <w:sz w:val="32"/>
          <w:szCs w:val="32"/>
          <w:highlight w:val="none"/>
          <w:lang w:val="en-US" w:eastAsia="zh-CN"/>
        </w:rPr>
        <w:t>232.22</w:t>
      </w:r>
      <w:r>
        <w:rPr>
          <w:rFonts w:hint="default" w:ascii="Times New Roman" w:hAnsi="Times New Roman" w:eastAsia="仿宋_GB2312" w:cs="Times New Roman"/>
          <w:color w:val="auto"/>
          <w:sz w:val="32"/>
          <w:szCs w:val="32"/>
          <w:highlight w:val="none"/>
        </w:rPr>
        <w:t>万元，支出总计</w:t>
      </w:r>
      <w:r>
        <w:rPr>
          <w:rFonts w:hint="default" w:ascii="Times New Roman" w:hAnsi="Times New Roman" w:eastAsia="仿宋_GB2312" w:cs="Times New Roman"/>
          <w:color w:val="auto"/>
          <w:sz w:val="32"/>
          <w:szCs w:val="32"/>
          <w:highlight w:val="none"/>
          <w:lang w:val="en-US" w:eastAsia="zh-CN"/>
        </w:rPr>
        <w:t>232.22</w:t>
      </w:r>
      <w:r>
        <w:rPr>
          <w:rFonts w:hint="default" w:ascii="Times New Roman" w:hAnsi="Times New Roman" w:eastAsia="仿宋_GB2312" w:cs="Times New Roman"/>
          <w:color w:val="auto"/>
          <w:sz w:val="32"/>
          <w:szCs w:val="32"/>
          <w:highlight w:val="none"/>
        </w:rPr>
        <w:t>万元，与202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年度相比，收入、支出总计各减少</w:t>
      </w:r>
      <w:r>
        <w:rPr>
          <w:rFonts w:hint="default" w:ascii="Times New Roman" w:hAnsi="Times New Roman" w:eastAsia="仿宋_GB2312" w:cs="Times New Roman"/>
          <w:color w:val="auto"/>
          <w:sz w:val="32"/>
          <w:szCs w:val="32"/>
          <w:highlight w:val="none"/>
          <w:lang w:val="en-US" w:eastAsia="zh-CN"/>
        </w:rPr>
        <w:t>128.58</w:t>
      </w:r>
      <w:r>
        <w:rPr>
          <w:rFonts w:hint="default" w:ascii="Times New Roman" w:hAnsi="Times New Roman" w:eastAsia="仿宋_GB2312" w:cs="Times New Roman"/>
          <w:color w:val="auto"/>
          <w:sz w:val="32"/>
          <w:szCs w:val="32"/>
          <w:highlight w:val="none"/>
        </w:rPr>
        <w:t>万元，下降</w:t>
      </w:r>
      <w:r>
        <w:rPr>
          <w:rFonts w:hint="default" w:ascii="Times New Roman" w:hAnsi="Times New Roman" w:eastAsia="仿宋_GB2312" w:cs="Times New Roman"/>
          <w:color w:val="auto"/>
          <w:sz w:val="32"/>
          <w:szCs w:val="32"/>
          <w:highlight w:val="none"/>
          <w:lang w:val="en-US" w:eastAsia="zh-CN"/>
        </w:rPr>
        <w:t>35.6</w:t>
      </w:r>
      <w:r>
        <w:rPr>
          <w:rFonts w:hint="default" w:ascii="Times New Roman" w:hAnsi="Times New Roman" w:eastAsia="仿宋_GB2312" w:cs="Times New Roman"/>
          <w:color w:val="auto"/>
          <w:sz w:val="32"/>
          <w:szCs w:val="32"/>
          <w:highlight w:val="none"/>
        </w:rPr>
        <w:t>%。主要原因：</w:t>
      </w:r>
      <w:r>
        <w:rPr>
          <w:rFonts w:hint="eastAsia" w:eastAsia="仿宋_GB2312" w:cs="Times New Roman"/>
          <w:color w:val="auto"/>
          <w:sz w:val="32"/>
          <w:szCs w:val="32"/>
          <w:highlight w:val="none"/>
          <w:lang w:eastAsia="zh-CN"/>
        </w:rPr>
        <w:t>预算项目支出减少</w:t>
      </w:r>
      <w:r>
        <w:rPr>
          <w:rFonts w:hint="default" w:ascii="Times New Roman" w:hAnsi="Times New Roman" w:eastAsia="仿宋_GB2312" w:cs="Times New Roman"/>
          <w:color w:val="FF0000"/>
          <w:sz w:val="32"/>
          <w:szCs w:val="32"/>
          <w:lang w:eastAsia="zh-CN"/>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ascii="楷体" w:hAnsi="楷体" w:eastAsia="楷体" w:cs="楷体"/>
          <w:b/>
          <w:bCs/>
          <w:sz w:val="32"/>
          <w:szCs w:val="32"/>
        </w:rPr>
      </w:pPr>
      <w:r>
        <w:rPr>
          <w:rFonts w:hint="eastAsia" w:ascii="楷体" w:hAnsi="楷体" w:eastAsia="楷体" w:cs="楷体"/>
          <w:b/>
          <w:bCs/>
          <w:sz w:val="32"/>
          <w:szCs w:val="32"/>
        </w:rPr>
        <w:t>（一</w:t>
      </w:r>
      <w:r>
        <w:rPr>
          <w:rFonts w:ascii="楷体" w:hAnsi="楷体" w:eastAsia="楷体" w:cs="楷体"/>
          <w:b/>
          <w:bCs/>
          <w:sz w:val="32"/>
          <w:szCs w:val="32"/>
        </w:rPr>
        <w:t>）</w:t>
      </w:r>
      <w:r>
        <w:rPr>
          <w:rFonts w:hint="eastAsia" w:ascii="楷体" w:hAnsi="楷体" w:eastAsia="楷体" w:cs="楷体"/>
          <w:b/>
          <w:bCs/>
          <w:sz w:val="32"/>
          <w:szCs w:val="32"/>
        </w:rPr>
        <w:t>收入</w:t>
      </w:r>
      <w:r>
        <w:rPr>
          <w:rFonts w:ascii="楷体" w:hAnsi="楷体" w:eastAsia="楷体" w:cs="楷体"/>
          <w:b/>
          <w:bCs/>
          <w:sz w:val="32"/>
          <w:szCs w:val="32"/>
        </w:rPr>
        <w:t>总计</w:t>
      </w:r>
      <w:r>
        <w:rPr>
          <w:rFonts w:hint="eastAsia" w:ascii="楷体" w:hAnsi="楷体" w:eastAsia="楷体" w:cs="楷体"/>
          <w:b/>
          <w:bCs/>
          <w:sz w:val="32"/>
          <w:szCs w:val="32"/>
        </w:rPr>
        <w:t>主要</w:t>
      </w:r>
      <w:r>
        <w:rPr>
          <w:rFonts w:ascii="楷体" w:hAnsi="楷体" w:eastAsia="楷体" w:cs="楷体"/>
          <w:b/>
          <w:bCs/>
          <w:sz w:val="32"/>
          <w:szCs w:val="32"/>
        </w:rPr>
        <w:t>构成</w:t>
      </w:r>
      <w:r>
        <w:rPr>
          <w:rFonts w:hint="eastAsia" w:ascii="楷体" w:hAnsi="楷体" w:eastAsia="楷体" w:cs="楷体"/>
          <w:b/>
          <w:bCs/>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本年收入</w:t>
      </w:r>
      <w:r>
        <w:rPr>
          <w:rFonts w:hint="default" w:ascii="Times New Roman" w:hAnsi="Times New Roman" w:eastAsia="仿宋_GB2312" w:cs="Times New Roman"/>
          <w:color w:val="auto"/>
          <w:sz w:val="32"/>
          <w:szCs w:val="32"/>
          <w:lang w:val="en-US" w:eastAsia="zh-CN"/>
        </w:rPr>
        <w:t>199.24</w:t>
      </w:r>
      <w:r>
        <w:rPr>
          <w:rFonts w:hint="default" w:ascii="Times New Roman" w:hAnsi="Times New Roman" w:eastAsia="仿宋_GB2312" w:cs="Times New Roman"/>
          <w:color w:val="auto"/>
          <w:sz w:val="32"/>
          <w:szCs w:val="32"/>
        </w:rPr>
        <w:t>万元。</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使用非财政拨款结余</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万元，较202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年度决算数增加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年初结转结余</w:t>
      </w:r>
      <w:r>
        <w:rPr>
          <w:rFonts w:hint="default" w:ascii="Times New Roman" w:hAnsi="Times New Roman" w:eastAsia="仿宋_GB2312" w:cs="Times New Roman"/>
          <w:color w:val="auto"/>
          <w:sz w:val="32"/>
          <w:szCs w:val="32"/>
          <w:lang w:val="en-US" w:eastAsia="zh-CN"/>
        </w:rPr>
        <w:t>32.98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FF0000"/>
          <w:sz w:val="32"/>
          <w:szCs w:val="32"/>
        </w:rPr>
        <w:t>主要是</w:t>
      </w:r>
      <w:r>
        <w:rPr>
          <w:rFonts w:hint="default" w:ascii="Times New Roman" w:hAnsi="Times New Roman" w:eastAsia="仿宋_GB2312" w:cs="Times New Roman"/>
          <w:color w:val="FF0000"/>
          <w:sz w:val="32"/>
          <w:szCs w:val="32"/>
          <w:lang w:val="en-US" w:eastAsia="zh-CN"/>
        </w:rPr>
        <w:t>202</w:t>
      </w:r>
      <w:r>
        <w:rPr>
          <w:rFonts w:hint="eastAsia" w:eastAsia="仿宋_GB2312" w:cs="Times New Roman"/>
          <w:color w:val="FF0000"/>
          <w:sz w:val="32"/>
          <w:szCs w:val="32"/>
          <w:lang w:val="en-US" w:eastAsia="zh-CN"/>
        </w:rPr>
        <w:t>2</w:t>
      </w:r>
      <w:r>
        <w:rPr>
          <w:rFonts w:hint="default" w:ascii="Times New Roman" w:hAnsi="Times New Roman" w:eastAsia="仿宋_GB2312" w:cs="Times New Roman"/>
          <w:color w:val="FF0000"/>
          <w:sz w:val="32"/>
          <w:szCs w:val="32"/>
          <w:lang w:val="en-US" w:eastAsia="zh-CN"/>
        </w:rPr>
        <w:t>年度基本支出和项目结转</w:t>
      </w:r>
      <w:r>
        <w:rPr>
          <w:rFonts w:hint="eastAsia" w:eastAsia="仿宋_GB2312" w:cs="Times New Roman"/>
          <w:color w:val="FF0000"/>
          <w:sz w:val="32"/>
          <w:szCs w:val="32"/>
          <w:lang w:val="en-US" w:eastAsia="zh-CN"/>
        </w:rPr>
        <w:t>结余</w:t>
      </w:r>
      <w:r>
        <w:rPr>
          <w:rFonts w:hint="default" w:ascii="Times New Roman" w:hAnsi="Times New Roman" w:eastAsia="仿宋_GB2312" w:cs="Times New Roman"/>
          <w:color w:val="auto"/>
          <w:sz w:val="32"/>
          <w:szCs w:val="32"/>
        </w:rPr>
        <w:t>，较2022年度决算数增加</w:t>
      </w:r>
      <w:r>
        <w:rPr>
          <w:rFonts w:hint="default" w:ascii="Times New Roman" w:hAnsi="Times New Roman" w:eastAsia="仿宋_GB2312" w:cs="Times New Roman"/>
          <w:color w:val="auto"/>
          <w:sz w:val="32"/>
          <w:szCs w:val="32"/>
          <w:lang w:val="en-US" w:eastAsia="zh-CN"/>
        </w:rPr>
        <w:t>5.52</w:t>
      </w:r>
      <w:r>
        <w:rPr>
          <w:rFonts w:hint="default" w:ascii="Times New Roman" w:hAnsi="Times New Roman" w:eastAsia="仿宋_GB2312" w:cs="Times New Roman"/>
          <w:color w:val="auto"/>
          <w:sz w:val="32"/>
          <w:szCs w:val="32"/>
        </w:rPr>
        <w:t>万元，增长</w:t>
      </w:r>
      <w:r>
        <w:rPr>
          <w:rFonts w:hint="default" w:ascii="Times New Roman" w:hAnsi="Times New Roman" w:eastAsia="仿宋_GB2312" w:cs="Times New Roman"/>
          <w:color w:val="auto"/>
          <w:sz w:val="32"/>
          <w:szCs w:val="32"/>
          <w:lang w:val="en-US" w:eastAsia="zh-CN"/>
        </w:rPr>
        <w:t>16.7</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FF0000"/>
          <w:sz w:val="32"/>
          <w:szCs w:val="32"/>
        </w:rPr>
        <w:t>主要原因是</w:t>
      </w:r>
      <w:r>
        <w:rPr>
          <w:rFonts w:hint="eastAsia" w:eastAsia="仿宋_GB2312" w:cs="Times New Roman"/>
          <w:color w:val="FF0000"/>
          <w:sz w:val="32"/>
          <w:szCs w:val="32"/>
          <w:lang w:eastAsia="zh-CN"/>
        </w:rPr>
        <w:t>年初结转结余增加</w:t>
      </w:r>
      <w:r>
        <w:rPr>
          <w:rFonts w:hint="default" w:ascii="Times New Roman" w:hAnsi="Times New Roman" w:eastAsia="仿宋_GB2312" w:cs="Times New Roman"/>
          <w:color w:val="FF0000"/>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ascii="楷体" w:hAnsi="楷体" w:eastAsia="楷体" w:cs="楷体"/>
          <w:b/>
          <w:bCs/>
          <w:sz w:val="32"/>
          <w:szCs w:val="32"/>
        </w:rPr>
      </w:pPr>
      <w:r>
        <w:rPr>
          <w:rFonts w:hint="eastAsia" w:ascii="楷体" w:hAnsi="楷体" w:eastAsia="楷体" w:cs="楷体"/>
          <w:b/>
          <w:bCs/>
          <w:sz w:val="32"/>
          <w:szCs w:val="32"/>
        </w:rPr>
        <w:t>（二</w:t>
      </w:r>
      <w:r>
        <w:rPr>
          <w:rFonts w:ascii="楷体" w:hAnsi="楷体" w:eastAsia="楷体" w:cs="楷体"/>
          <w:b/>
          <w:bCs/>
          <w:sz w:val="32"/>
          <w:szCs w:val="32"/>
        </w:rPr>
        <w:t>）</w:t>
      </w:r>
      <w:r>
        <w:rPr>
          <w:rFonts w:hint="eastAsia" w:ascii="楷体" w:hAnsi="楷体" w:eastAsia="楷体" w:cs="楷体"/>
          <w:b/>
          <w:bCs/>
          <w:sz w:val="32"/>
          <w:szCs w:val="32"/>
        </w:rPr>
        <w:t>支出</w:t>
      </w:r>
      <w:r>
        <w:rPr>
          <w:rFonts w:ascii="楷体" w:hAnsi="楷体" w:eastAsia="楷体" w:cs="楷体"/>
          <w:b/>
          <w:bCs/>
          <w:sz w:val="32"/>
          <w:szCs w:val="32"/>
        </w:rPr>
        <w:t>总计</w:t>
      </w:r>
      <w:r>
        <w:rPr>
          <w:rFonts w:hint="eastAsia" w:ascii="楷体" w:hAnsi="楷体" w:eastAsia="楷体" w:cs="楷体"/>
          <w:b/>
          <w:bCs/>
          <w:sz w:val="32"/>
          <w:szCs w:val="32"/>
        </w:rPr>
        <w:t>主要</w:t>
      </w:r>
      <w:r>
        <w:rPr>
          <w:rFonts w:ascii="楷体" w:hAnsi="楷体" w:eastAsia="楷体" w:cs="楷体"/>
          <w:b/>
          <w:bCs/>
          <w:sz w:val="32"/>
          <w:szCs w:val="32"/>
        </w:rPr>
        <w:t>构成</w:t>
      </w:r>
      <w:r>
        <w:rPr>
          <w:rFonts w:hint="eastAsia" w:ascii="楷体" w:hAnsi="楷体" w:eastAsia="楷体" w:cs="楷体"/>
          <w:b/>
          <w:bCs/>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本年支出</w:t>
      </w:r>
      <w:r>
        <w:rPr>
          <w:rFonts w:hint="default" w:ascii="Times New Roman" w:hAnsi="Times New Roman" w:eastAsia="仿宋_GB2312" w:cs="Times New Roman"/>
          <w:color w:val="auto"/>
          <w:sz w:val="32"/>
          <w:szCs w:val="32"/>
          <w:lang w:val="en-US" w:eastAsia="zh-CN"/>
        </w:rPr>
        <w:t>199.24</w:t>
      </w:r>
      <w:r>
        <w:rPr>
          <w:rFonts w:hint="default" w:ascii="Times New Roman" w:hAnsi="Times New Roman" w:eastAsia="仿宋_GB2312" w:cs="Times New Roman"/>
          <w:color w:val="auto"/>
          <w:sz w:val="32"/>
          <w:szCs w:val="32"/>
        </w:rPr>
        <w:t>万元。</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结余分配</w:t>
      </w:r>
      <w:r>
        <w:rPr>
          <w:rFonts w:hint="default" w:ascii="Times New Roman" w:hAnsi="Times New Roman" w:eastAsia="仿宋_GB2312" w:cs="Times New Roman"/>
          <w:color w:val="auto"/>
          <w:sz w:val="32"/>
          <w:szCs w:val="32"/>
          <w:lang w:val="en-US"/>
        </w:rPr>
        <w:t>0</w:t>
      </w:r>
      <w:r>
        <w:rPr>
          <w:rFonts w:hint="default" w:ascii="Times New Roman" w:hAnsi="Times New Roman" w:eastAsia="仿宋_GB2312" w:cs="Times New Roman"/>
          <w:color w:val="auto"/>
          <w:sz w:val="32"/>
          <w:szCs w:val="32"/>
        </w:rPr>
        <w:t>万元，较2022年度决算数增加</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rPr>
        <w:t>年末结转结余</w:t>
      </w:r>
      <w:r>
        <w:rPr>
          <w:rFonts w:hint="default" w:ascii="Times New Roman" w:hAnsi="Times New Roman" w:eastAsia="仿宋_GB2312" w:cs="Times New Roman"/>
          <w:color w:val="auto"/>
          <w:sz w:val="32"/>
          <w:szCs w:val="32"/>
          <w:lang w:val="en-US" w:eastAsia="zh-CN"/>
        </w:rPr>
        <w:t>32.98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FF0000"/>
          <w:sz w:val="32"/>
          <w:szCs w:val="32"/>
        </w:rPr>
        <w:t>主要是</w:t>
      </w:r>
      <w:r>
        <w:rPr>
          <w:rFonts w:hint="default"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年度基本支出和项目结转至今</w:t>
      </w:r>
      <w:r>
        <w:rPr>
          <w:rFonts w:hint="default" w:ascii="Times New Roman" w:hAnsi="Times New Roman" w:eastAsia="仿宋_GB2312" w:cs="Times New Roman"/>
          <w:color w:val="FF0000"/>
          <w:sz w:val="32"/>
          <w:szCs w:val="32"/>
        </w:rPr>
        <w:t>，</w:t>
      </w:r>
      <w:r>
        <w:rPr>
          <w:rFonts w:hint="default" w:ascii="Times New Roman" w:hAnsi="Times New Roman" w:eastAsia="仿宋_GB2312" w:cs="Times New Roman"/>
          <w:color w:val="auto"/>
          <w:sz w:val="32"/>
          <w:szCs w:val="32"/>
        </w:rPr>
        <w:t>较2022年度决算数增加</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FF0000"/>
          <w:sz w:val="32"/>
          <w:szCs w:val="32"/>
        </w:rPr>
        <w:t>增长</w:t>
      </w:r>
      <w:r>
        <w:rPr>
          <w:rFonts w:hint="default" w:ascii="Times New Roman" w:hAnsi="Times New Roman" w:eastAsia="仿宋_GB2312" w:cs="Times New Roman"/>
          <w:color w:val="FF0000"/>
          <w:sz w:val="32"/>
          <w:szCs w:val="32"/>
          <w:lang w:val="en-US" w:eastAsia="zh-CN"/>
        </w:rPr>
        <w:t>0</w:t>
      </w:r>
      <w:r>
        <w:rPr>
          <w:rFonts w:hint="default" w:ascii="Times New Roman" w:hAnsi="Times New Roman" w:eastAsia="仿宋_GB2312" w:cs="Times New Roman"/>
          <w:color w:val="FF0000"/>
          <w:sz w:val="32"/>
          <w:szCs w:val="32"/>
        </w:rPr>
        <w:t>%，主要原因是</w:t>
      </w:r>
      <w:r>
        <w:rPr>
          <w:rFonts w:hint="eastAsia" w:eastAsia="仿宋_GB2312" w:cs="Times New Roman"/>
          <w:color w:val="FF0000"/>
          <w:sz w:val="32"/>
          <w:szCs w:val="32"/>
          <w:lang w:val="en-US" w:eastAsia="zh-CN"/>
        </w:rPr>
        <w:t>2022年度</w:t>
      </w:r>
      <w:r>
        <w:rPr>
          <w:rFonts w:hint="default" w:ascii="Times New Roman" w:hAnsi="Times New Roman" w:eastAsia="仿宋_GB2312" w:cs="Times New Roman"/>
          <w:color w:val="000000"/>
          <w:sz w:val="32"/>
          <w:szCs w:val="32"/>
          <w:lang w:val="en-US" w:eastAsia="zh-CN"/>
        </w:rPr>
        <w:t>基本支出和项目结转至今</w:t>
      </w:r>
      <w:r>
        <w:rPr>
          <w:rFonts w:hint="default" w:ascii="Times New Roman" w:hAnsi="Times New Roman" w:eastAsia="仿宋_GB2312" w:cs="Times New Roman"/>
          <w:color w:val="FF0000"/>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二、收入决算情况说明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本年收入合计</w:t>
      </w:r>
      <w:r>
        <w:rPr>
          <w:rFonts w:hint="default" w:ascii="Times New Roman" w:hAnsi="Times New Roman" w:eastAsia="仿宋_GB2312" w:cs="Times New Roman"/>
          <w:color w:val="000000"/>
          <w:sz w:val="32"/>
          <w:szCs w:val="32"/>
          <w:highlight w:val="none"/>
          <w:lang w:val="en-US" w:eastAsia="zh-CN"/>
        </w:rPr>
        <w:t>199.24</w:t>
      </w:r>
      <w:r>
        <w:rPr>
          <w:rFonts w:hint="default" w:ascii="Times New Roman" w:hAnsi="Times New Roman" w:eastAsia="仿宋_GB2312" w:cs="Times New Roman"/>
          <w:color w:val="000000"/>
          <w:sz w:val="32"/>
          <w:szCs w:val="32"/>
          <w:highlight w:val="none"/>
        </w:rPr>
        <w:t>万元，其中：财政拨款收入</w:t>
      </w:r>
      <w:r>
        <w:rPr>
          <w:rFonts w:hint="default" w:ascii="Times New Roman" w:hAnsi="Times New Roman" w:eastAsia="仿宋_GB2312" w:cs="Times New Roman"/>
          <w:color w:val="000000"/>
          <w:sz w:val="32"/>
          <w:szCs w:val="32"/>
          <w:highlight w:val="none"/>
          <w:lang w:val="en-US" w:eastAsia="zh-CN"/>
        </w:rPr>
        <w:t>199.24</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100</w:t>
      </w:r>
      <w:r>
        <w:rPr>
          <w:rFonts w:hint="default" w:ascii="Times New Roman" w:hAnsi="Times New Roman" w:eastAsia="仿宋_GB2312" w:cs="Times New Roman"/>
          <w:color w:val="000000"/>
          <w:sz w:val="32"/>
          <w:szCs w:val="32"/>
          <w:highlight w:val="none"/>
        </w:rPr>
        <w:t>%；上级补助收入</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事业收入</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经营收入</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附属单位上缴收入</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%；其他收入</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三、支出决算情况说明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本年支出合计</w:t>
      </w:r>
      <w:r>
        <w:rPr>
          <w:rFonts w:hint="default" w:ascii="Times New Roman" w:hAnsi="Times New Roman" w:eastAsia="仿宋_GB2312" w:cs="Times New Roman"/>
          <w:color w:val="000000"/>
          <w:sz w:val="32"/>
          <w:szCs w:val="32"/>
          <w:highlight w:val="none"/>
          <w:lang w:val="en-US" w:eastAsia="zh-CN"/>
        </w:rPr>
        <w:t>199.24</w:t>
      </w:r>
      <w:r>
        <w:rPr>
          <w:rFonts w:hint="default" w:ascii="Times New Roman" w:hAnsi="Times New Roman" w:eastAsia="仿宋_GB2312" w:cs="Times New Roman"/>
          <w:color w:val="000000"/>
          <w:sz w:val="32"/>
          <w:szCs w:val="32"/>
          <w:highlight w:val="none"/>
        </w:rPr>
        <w:t>万元，其中：基本支出</w:t>
      </w:r>
      <w:r>
        <w:rPr>
          <w:rFonts w:hint="default" w:ascii="Times New Roman" w:hAnsi="Times New Roman" w:eastAsia="仿宋_GB2312" w:cs="Times New Roman"/>
          <w:color w:val="000000"/>
          <w:sz w:val="32"/>
          <w:szCs w:val="32"/>
          <w:highlight w:val="none"/>
          <w:lang w:val="en-US" w:eastAsia="zh-CN"/>
        </w:rPr>
        <w:t>167.16</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83.90</w:t>
      </w:r>
      <w:r>
        <w:rPr>
          <w:rFonts w:hint="default" w:ascii="Times New Roman" w:hAnsi="Times New Roman" w:eastAsia="仿宋_GB2312" w:cs="Times New Roman"/>
          <w:color w:val="000000"/>
          <w:sz w:val="32"/>
          <w:szCs w:val="32"/>
          <w:highlight w:val="none"/>
        </w:rPr>
        <w:t>%；项目支出</w:t>
      </w:r>
      <w:r>
        <w:rPr>
          <w:rFonts w:hint="default" w:ascii="Times New Roman" w:hAnsi="Times New Roman" w:eastAsia="仿宋_GB2312" w:cs="Times New Roman"/>
          <w:color w:val="000000"/>
          <w:sz w:val="32"/>
          <w:szCs w:val="32"/>
          <w:highlight w:val="none"/>
          <w:lang w:val="en-US" w:eastAsia="zh-CN"/>
        </w:rPr>
        <w:t>32.08</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16.1</w:t>
      </w:r>
      <w:r>
        <w:rPr>
          <w:rFonts w:hint="default" w:ascii="Times New Roman" w:hAnsi="Times New Roman" w:eastAsia="仿宋_GB2312" w:cs="Times New Roman"/>
          <w:color w:val="000000"/>
          <w:sz w:val="32"/>
          <w:szCs w:val="32"/>
          <w:highlight w:val="none"/>
        </w:rPr>
        <w:t>%；上缴上级支出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%；经营支出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%；对附属单位补助支出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四、财政拨款收入支出决算总体情况说明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年度财政拨款收入</w:t>
      </w:r>
      <w:r>
        <w:rPr>
          <w:rFonts w:hint="default" w:ascii="Times New Roman" w:hAnsi="Times New Roman" w:eastAsia="仿宋_GB2312" w:cs="Times New Roman"/>
          <w:color w:val="auto"/>
          <w:sz w:val="32"/>
          <w:szCs w:val="32"/>
          <w:highlight w:val="none"/>
          <w:lang w:val="en-US" w:eastAsia="zh-CN"/>
        </w:rPr>
        <w:t>219.48</w:t>
      </w:r>
      <w:r>
        <w:rPr>
          <w:rFonts w:hint="default" w:ascii="Times New Roman" w:hAnsi="Times New Roman" w:eastAsia="仿宋_GB2312" w:cs="Times New Roman"/>
          <w:color w:val="auto"/>
          <w:sz w:val="32"/>
          <w:szCs w:val="32"/>
          <w:highlight w:val="none"/>
        </w:rPr>
        <w:t>万元，支出</w:t>
      </w:r>
      <w:r>
        <w:rPr>
          <w:rFonts w:hint="default" w:ascii="Times New Roman" w:hAnsi="Times New Roman" w:eastAsia="仿宋_GB2312" w:cs="Times New Roman"/>
          <w:color w:val="auto"/>
          <w:sz w:val="32"/>
          <w:szCs w:val="32"/>
          <w:highlight w:val="none"/>
          <w:lang w:val="en-US" w:eastAsia="zh-CN"/>
        </w:rPr>
        <w:t>219.48</w:t>
      </w:r>
      <w:r>
        <w:rPr>
          <w:rFonts w:hint="default" w:ascii="Times New Roman" w:hAnsi="Times New Roman" w:eastAsia="仿宋_GB2312" w:cs="Times New Roman"/>
          <w:color w:val="auto"/>
          <w:sz w:val="32"/>
          <w:szCs w:val="32"/>
          <w:highlight w:val="none"/>
        </w:rPr>
        <w:t>万元。与202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年度相比，财政拨款收入</w:t>
      </w:r>
      <w:r>
        <w:rPr>
          <w:rFonts w:hint="default" w:ascii="Times New Roman" w:hAnsi="Times New Roman" w:eastAsia="仿宋_GB2312" w:cs="Times New Roman"/>
          <w:color w:val="auto"/>
          <w:sz w:val="32"/>
          <w:szCs w:val="32"/>
          <w:highlight w:val="none"/>
          <w:lang w:eastAsia="zh-CN"/>
        </w:rPr>
        <w:t>减少</w:t>
      </w:r>
      <w:r>
        <w:rPr>
          <w:rFonts w:hint="default" w:ascii="Times New Roman" w:hAnsi="Times New Roman" w:eastAsia="仿宋_GB2312" w:cs="Times New Roman"/>
          <w:color w:val="auto"/>
          <w:sz w:val="32"/>
          <w:szCs w:val="32"/>
          <w:highlight w:val="none"/>
          <w:lang w:val="en-US" w:eastAsia="zh-CN"/>
        </w:rPr>
        <w:t>128.58万元，下降36.9%，</w:t>
      </w:r>
      <w:r>
        <w:rPr>
          <w:rFonts w:hint="default" w:ascii="Times New Roman" w:hAnsi="Times New Roman" w:eastAsia="仿宋_GB2312" w:cs="Times New Roman"/>
          <w:color w:val="auto"/>
          <w:sz w:val="32"/>
          <w:szCs w:val="32"/>
          <w:highlight w:val="none"/>
        </w:rPr>
        <w:t>主要原因：一是</w:t>
      </w:r>
      <w:r>
        <w:rPr>
          <w:rFonts w:hint="default" w:ascii="Times New Roman" w:hAnsi="Times New Roman" w:eastAsia="仿宋_GB2312" w:cs="Times New Roman"/>
          <w:color w:val="auto"/>
          <w:sz w:val="32"/>
          <w:szCs w:val="32"/>
        </w:rPr>
        <w:t>本年收入减少</w:t>
      </w:r>
      <w:r>
        <w:rPr>
          <w:rFonts w:hint="default" w:ascii="Times New Roman" w:hAnsi="Times New Roman" w:eastAsia="仿宋_GB2312" w:cs="Times New Roman"/>
          <w:color w:val="auto"/>
          <w:sz w:val="32"/>
          <w:szCs w:val="32"/>
          <w:highlight w:val="none"/>
        </w:rPr>
        <w:t>；二是</w:t>
      </w:r>
      <w:r>
        <w:rPr>
          <w:rFonts w:hint="default" w:ascii="Times New Roman" w:hAnsi="Times New Roman" w:eastAsia="仿宋_GB2312" w:cs="Times New Roman"/>
          <w:color w:val="auto"/>
          <w:sz w:val="32"/>
          <w:szCs w:val="32"/>
        </w:rPr>
        <w:t>单位机构改革的问题</w:t>
      </w:r>
      <w:r>
        <w:rPr>
          <w:rFonts w:hint="default" w:ascii="Times New Roman" w:hAnsi="Times New Roman" w:eastAsia="仿宋_GB2312" w:cs="Times New Roman"/>
          <w:color w:val="auto"/>
          <w:sz w:val="32"/>
          <w:szCs w:val="32"/>
          <w:highlight w:val="none"/>
        </w:rPr>
        <w:t>。支出减少</w:t>
      </w:r>
      <w:r>
        <w:rPr>
          <w:rFonts w:hint="default" w:ascii="Times New Roman" w:hAnsi="Times New Roman" w:eastAsia="仿宋_GB2312" w:cs="Times New Roman"/>
          <w:color w:val="auto"/>
          <w:sz w:val="32"/>
          <w:szCs w:val="32"/>
          <w:highlight w:val="none"/>
          <w:lang w:val="en-US" w:eastAsia="zh-CN"/>
        </w:rPr>
        <w:t>128.58</w:t>
      </w:r>
      <w:r>
        <w:rPr>
          <w:rFonts w:hint="default" w:ascii="Times New Roman" w:hAnsi="Times New Roman" w:eastAsia="仿宋_GB2312" w:cs="Times New Roman"/>
          <w:color w:val="auto"/>
          <w:sz w:val="32"/>
          <w:szCs w:val="32"/>
          <w:highlight w:val="none"/>
        </w:rPr>
        <w:t>万元，下降</w:t>
      </w:r>
      <w:r>
        <w:rPr>
          <w:rFonts w:hint="default" w:ascii="Times New Roman" w:hAnsi="Times New Roman" w:eastAsia="仿宋_GB2312" w:cs="Times New Roman"/>
          <w:color w:val="auto"/>
          <w:sz w:val="32"/>
          <w:szCs w:val="32"/>
          <w:highlight w:val="none"/>
          <w:lang w:val="en-US" w:eastAsia="zh-CN"/>
        </w:rPr>
        <w:t>36.9%</w:t>
      </w:r>
      <w:r>
        <w:rPr>
          <w:rFonts w:hint="default" w:ascii="Times New Roman" w:hAnsi="Times New Roman" w:eastAsia="仿宋_GB2312" w:cs="Times New Roman"/>
          <w:color w:val="auto"/>
          <w:sz w:val="32"/>
          <w:szCs w:val="32"/>
          <w:highlight w:val="none"/>
        </w:rPr>
        <w:t>。主要原因：一是</w:t>
      </w:r>
      <w:r>
        <w:rPr>
          <w:rFonts w:hint="default" w:ascii="Times New Roman" w:hAnsi="Times New Roman" w:eastAsia="仿宋_GB2312" w:cs="Times New Roman"/>
          <w:color w:val="auto"/>
          <w:sz w:val="32"/>
          <w:szCs w:val="32"/>
        </w:rPr>
        <w:t>本年收入减少</w:t>
      </w:r>
      <w:r>
        <w:rPr>
          <w:rFonts w:hint="default" w:ascii="Times New Roman" w:hAnsi="Times New Roman" w:eastAsia="仿宋_GB2312" w:cs="Times New Roman"/>
          <w:color w:val="auto"/>
          <w:sz w:val="32"/>
          <w:szCs w:val="32"/>
          <w:highlight w:val="none"/>
        </w:rPr>
        <w:t>；二是</w:t>
      </w:r>
      <w:r>
        <w:rPr>
          <w:rFonts w:hint="default" w:ascii="Times New Roman" w:hAnsi="Times New Roman" w:eastAsia="仿宋_GB2312" w:cs="Times New Roman"/>
          <w:color w:val="auto"/>
          <w:sz w:val="32"/>
          <w:szCs w:val="32"/>
        </w:rPr>
        <w:t>单位机构改革的问题</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财政拨款年初结转结余</w:t>
      </w:r>
      <w:r>
        <w:rPr>
          <w:rFonts w:hint="default" w:ascii="Times New Roman" w:hAnsi="Times New Roman" w:eastAsia="仿宋_GB2312" w:cs="Times New Roman"/>
          <w:color w:val="auto"/>
          <w:sz w:val="32"/>
          <w:szCs w:val="32"/>
          <w:highlight w:val="none"/>
          <w:lang w:val="en-US" w:eastAsia="zh-CN"/>
        </w:rPr>
        <w:t>20.24</w:t>
      </w:r>
      <w:r>
        <w:rPr>
          <w:rFonts w:hint="default" w:ascii="Times New Roman" w:hAnsi="Times New Roman" w:eastAsia="仿宋_GB2312" w:cs="Times New Roman"/>
          <w:color w:val="auto"/>
          <w:sz w:val="32"/>
          <w:szCs w:val="32"/>
          <w:highlight w:val="none"/>
        </w:rPr>
        <w:t>万元，主要是</w:t>
      </w:r>
      <w:r>
        <w:rPr>
          <w:rFonts w:hint="default"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年度基本支出和项目结转至今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较202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年度决算数增加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年度基本支出和项目结转至今</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财政拨款年末结转结余</w:t>
      </w:r>
      <w:r>
        <w:rPr>
          <w:rFonts w:hint="default" w:ascii="Times New Roman" w:hAnsi="Times New Roman" w:eastAsia="仿宋_GB2312" w:cs="Times New Roman"/>
          <w:color w:val="auto"/>
          <w:sz w:val="32"/>
          <w:szCs w:val="32"/>
          <w:highlight w:val="none"/>
          <w:lang w:val="en-US" w:eastAsia="zh-CN"/>
        </w:rPr>
        <w:t>20.24</w:t>
      </w:r>
      <w:r>
        <w:rPr>
          <w:rFonts w:hint="default" w:ascii="Times New Roman" w:hAnsi="Times New Roman" w:eastAsia="仿宋_GB2312" w:cs="Times New Roman"/>
          <w:color w:val="auto"/>
          <w:sz w:val="32"/>
          <w:szCs w:val="32"/>
          <w:highlight w:val="none"/>
        </w:rPr>
        <w:t>万元，主要是</w:t>
      </w:r>
      <w:r>
        <w:rPr>
          <w:rFonts w:hint="default"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年度基本支出和项目结转至今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较202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年度年末数增加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年度基本支出和项目结转至今</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五、一般公共预算财政拨款支出决算情况说明</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bookmarkStart w:id="77" w:name="_Toc13694_WPSOffice_Level2"/>
      <w:bookmarkStart w:id="78" w:name="_Toc17398_WPSOffice_Level2"/>
      <w:bookmarkStart w:id="79" w:name="_Toc23005_WPSOffice_Level2"/>
      <w:bookmarkStart w:id="80" w:name="_Toc19665_WPSOffice_Level2"/>
      <w:bookmarkStart w:id="81" w:name="_Toc9989_WPSOffice_Level2"/>
      <w:bookmarkStart w:id="82" w:name="_Toc21737_WPSOffice_Level2"/>
      <w:r>
        <w:rPr>
          <w:rFonts w:hint="eastAsia" w:ascii="楷体" w:hAnsi="楷体" w:eastAsia="楷体" w:cs="楷体"/>
          <w:b/>
          <w:bCs/>
          <w:color w:val="000000"/>
          <w:sz w:val="32"/>
          <w:szCs w:val="32"/>
          <w:highlight w:val="none"/>
        </w:rPr>
        <w:t>（一）一般公共预算财政拨款支出决算总体情况</w:t>
      </w:r>
      <w:bookmarkEnd w:id="77"/>
      <w:bookmarkEnd w:id="78"/>
      <w:r>
        <w:rPr>
          <w:rFonts w:hint="eastAsia" w:ascii="楷体" w:hAnsi="楷体" w:eastAsia="楷体" w:cs="楷体"/>
          <w:b/>
          <w:bCs/>
          <w:color w:val="000000"/>
          <w:sz w:val="32"/>
          <w:szCs w:val="32"/>
          <w:highlight w:val="none"/>
        </w:rPr>
        <w:t>。</w:t>
      </w:r>
      <w:bookmarkEnd w:id="79"/>
      <w:bookmarkEnd w:id="80"/>
      <w:bookmarkEnd w:id="81"/>
      <w:bookmarkEnd w:id="82"/>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年度一般公共预算财政拨款支出</w:t>
      </w:r>
      <w:r>
        <w:rPr>
          <w:rFonts w:hint="default" w:ascii="Times New Roman" w:hAnsi="Times New Roman" w:eastAsia="仿宋_GB2312" w:cs="Times New Roman"/>
          <w:color w:val="000000"/>
          <w:sz w:val="32"/>
          <w:szCs w:val="32"/>
          <w:highlight w:val="none"/>
          <w:lang w:val="en-US" w:eastAsia="zh-CN"/>
        </w:rPr>
        <w:t>199.24</w:t>
      </w:r>
      <w:r>
        <w:rPr>
          <w:rFonts w:hint="default" w:ascii="Times New Roman" w:hAnsi="Times New Roman" w:eastAsia="仿宋_GB2312" w:cs="Times New Roman"/>
          <w:color w:val="000000"/>
          <w:sz w:val="32"/>
          <w:szCs w:val="32"/>
          <w:highlight w:val="none"/>
        </w:rPr>
        <w:t>万元，占本年支出合计的</w:t>
      </w:r>
      <w:r>
        <w:rPr>
          <w:rFonts w:hint="default" w:ascii="Times New Roman" w:hAnsi="Times New Roman" w:eastAsia="仿宋_GB2312" w:cs="Times New Roman"/>
          <w:color w:val="000000"/>
          <w:sz w:val="32"/>
          <w:szCs w:val="32"/>
          <w:highlight w:val="none"/>
          <w:lang w:val="en-US" w:eastAsia="zh-CN"/>
        </w:rPr>
        <w:t>100</w:t>
      </w:r>
      <w:r>
        <w:rPr>
          <w:rFonts w:hint="default" w:ascii="Times New Roman" w:hAnsi="Times New Roman" w:eastAsia="仿宋_GB2312" w:cs="Times New Roman"/>
          <w:color w:val="000000"/>
          <w:sz w:val="32"/>
          <w:szCs w:val="32"/>
          <w:highlight w:val="none"/>
        </w:rPr>
        <w:t>%。与202</w:t>
      </w:r>
      <w:r>
        <w:rPr>
          <w:rFonts w:hint="default"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rPr>
        <w:t>年度相比，一般公共预算财</w:t>
      </w:r>
      <w:r>
        <w:rPr>
          <w:rFonts w:hint="default" w:ascii="Times New Roman" w:hAnsi="Times New Roman" w:eastAsia="仿宋_GB2312" w:cs="Times New Roman"/>
          <w:color w:val="auto"/>
          <w:sz w:val="32"/>
          <w:szCs w:val="32"/>
          <w:highlight w:val="none"/>
        </w:rPr>
        <w:t>政拨款支出减少</w:t>
      </w:r>
      <w:r>
        <w:rPr>
          <w:rFonts w:hint="default" w:ascii="Times New Roman" w:hAnsi="Times New Roman" w:eastAsia="仿宋_GB2312" w:cs="Times New Roman"/>
          <w:color w:val="auto"/>
          <w:sz w:val="32"/>
          <w:szCs w:val="32"/>
          <w:highlight w:val="none"/>
          <w:lang w:val="en-US" w:eastAsia="zh-CN"/>
        </w:rPr>
        <w:t>128.57</w:t>
      </w:r>
      <w:r>
        <w:rPr>
          <w:rFonts w:hint="default" w:ascii="Times New Roman" w:hAnsi="Times New Roman" w:eastAsia="仿宋_GB2312" w:cs="Times New Roman"/>
          <w:color w:val="auto"/>
          <w:sz w:val="32"/>
          <w:szCs w:val="32"/>
          <w:highlight w:val="none"/>
        </w:rPr>
        <w:t>万元，下降</w:t>
      </w:r>
      <w:r>
        <w:rPr>
          <w:rFonts w:hint="default" w:ascii="Times New Roman" w:hAnsi="Times New Roman" w:eastAsia="仿宋_GB2312" w:cs="Times New Roman"/>
          <w:color w:val="auto"/>
          <w:sz w:val="32"/>
          <w:szCs w:val="32"/>
          <w:highlight w:val="none"/>
          <w:lang w:val="en-US" w:eastAsia="zh-CN"/>
        </w:rPr>
        <w:t>39.2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FF0000"/>
          <w:sz w:val="32"/>
          <w:szCs w:val="32"/>
          <w:highlight w:val="none"/>
        </w:rPr>
        <w:t>主要原因是</w:t>
      </w:r>
      <w:r>
        <w:rPr>
          <w:rFonts w:hint="eastAsia" w:eastAsia="仿宋" w:cs="Times New Roman"/>
          <w:color w:val="FF0000"/>
          <w:sz w:val="32"/>
          <w:szCs w:val="32"/>
          <w:lang w:eastAsia="zh-CN"/>
        </w:rPr>
        <w:t>人员退休减少相应支出</w:t>
      </w:r>
      <w:r>
        <w:rPr>
          <w:rFonts w:hint="default" w:ascii="Times New Roman" w:hAnsi="Times New Roman" w:eastAsia="仿宋_GB2312" w:cs="Times New Roman"/>
          <w:color w:val="FF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bookmarkStart w:id="83" w:name="_Toc18793_WPSOffice_Level2"/>
      <w:bookmarkStart w:id="84" w:name="_Toc2711_WPSOffice_Level2"/>
      <w:bookmarkStart w:id="85" w:name="_Toc19535_WPSOffice_Level2"/>
      <w:bookmarkStart w:id="86" w:name="_Toc19075_WPSOffice_Level2"/>
      <w:bookmarkStart w:id="87" w:name="_Toc23864_WPSOffice_Level2"/>
      <w:bookmarkStart w:id="88" w:name="_Toc27767_WPSOffice_Level2"/>
      <w:r>
        <w:rPr>
          <w:rFonts w:hint="eastAsia" w:ascii="楷体" w:hAnsi="楷体" w:eastAsia="楷体" w:cs="楷体"/>
          <w:b/>
          <w:bCs/>
          <w:color w:val="000000"/>
          <w:sz w:val="32"/>
          <w:szCs w:val="32"/>
          <w:highlight w:val="none"/>
        </w:rPr>
        <w:t>（二）一般公共预算财政拨款支出决算结构情况</w:t>
      </w:r>
      <w:bookmarkEnd w:id="83"/>
      <w:bookmarkEnd w:id="84"/>
      <w:r>
        <w:rPr>
          <w:rFonts w:hint="eastAsia" w:ascii="楷体" w:hAnsi="楷体" w:eastAsia="楷体" w:cs="楷体"/>
          <w:b/>
          <w:bCs/>
          <w:color w:val="000000"/>
          <w:sz w:val="32"/>
          <w:szCs w:val="32"/>
          <w:highlight w:val="none"/>
        </w:rPr>
        <w:t>。</w:t>
      </w:r>
      <w:bookmarkEnd w:id="85"/>
      <w:bookmarkEnd w:id="86"/>
      <w:bookmarkEnd w:id="87"/>
      <w:bookmarkEnd w:id="88"/>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年度一般公共预算财政拨款支出</w:t>
      </w:r>
      <w:r>
        <w:rPr>
          <w:rFonts w:hint="default" w:ascii="Times New Roman" w:hAnsi="Times New Roman" w:eastAsia="仿宋_GB2312" w:cs="Times New Roman"/>
          <w:color w:val="000000"/>
          <w:sz w:val="32"/>
          <w:szCs w:val="32"/>
          <w:highlight w:val="none"/>
          <w:lang w:val="en-US" w:eastAsia="zh-CN"/>
        </w:rPr>
        <w:t>199.24</w:t>
      </w:r>
      <w:r>
        <w:rPr>
          <w:rFonts w:hint="default" w:ascii="Times New Roman" w:hAnsi="Times New Roman" w:eastAsia="仿宋_GB2312" w:cs="Times New Roman"/>
          <w:color w:val="000000"/>
          <w:sz w:val="32"/>
          <w:szCs w:val="32"/>
          <w:highlight w:val="none"/>
        </w:rPr>
        <w:t>万元，主要用于以下方面：</w:t>
      </w:r>
      <w:r>
        <w:rPr>
          <w:rFonts w:hint="default" w:ascii="Times New Roman" w:hAnsi="Times New Roman" w:eastAsia="仿宋_GB2312" w:cs="Times New Roman"/>
          <w:b/>
          <w:bCs/>
          <w:sz w:val="32"/>
          <w:szCs w:val="32"/>
        </w:rPr>
        <w:t>社会保障和就业</w:t>
      </w:r>
      <w:r>
        <w:rPr>
          <w:rFonts w:hint="default" w:ascii="Times New Roman" w:hAnsi="Times New Roman" w:eastAsia="仿宋_GB2312" w:cs="Times New Roman"/>
          <w:b w:val="0"/>
          <w:sz w:val="32"/>
          <w:szCs w:val="32"/>
        </w:rPr>
        <w:t>（类）</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24.45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12.3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rPr>
        <w:t>卫生健康（类）</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11.77</w:t>
      </w:r>
      <w:r>
        <w:rPr>
          <w:rFonts w:hint="default" w:ascii="Times New Roman" w:hAnsi="Times New Roman" w:eastAsia="仿宋_GB2312" w:cs="Times New Roman"/>
          <w:sz w:val="32"/>
          <w:szCs w:val="32"/>
        </w:rPr>
        <w:t>万元，占5.</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交通运输（类）</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158.09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79.3</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val="0"/>
          <w:sz w:val="32"/>
          <w:szCs w:val="32"/>
        </w:rPr>
        <w:t>住房保障（类）</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4.93</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bookmarkStart w:id="89" w:name="_Toc29364_WPSOffice_Level2"/>
      <w:bookmarkStart w:id="90" w:name="_Toc21701_WPSOffice_Level2"/>
      <w:bookmarkStart w:id="91" w:name="_Toc25136_WPSOffice_Level2"/>
      <w:bookmarkStart w:id="92" w:name="_Toc22318_WPSOffice_Level2"/>
      <w:bookmarkStart w:id="93" w:name="_Toc9502_WPSOffice_Level2"/>
      <w:bookmarkStart w:id="94" w:name="_Toc15415_WPSOffice_Level2"/>
      <w:r>
        <w:rPr>
          <w:rFonts w:hint="eastAsia" w:ascii="楷体" w:hAnsi="楷体" w:eastAsia="楷体" w:cs="楷体"/>
          <w:b/>
          <w:bCs/>
          <w:color w:val="000000"/>
          <w:sz w:val="32"/>
          <w:szCs w:val="32"/>
          <w:highlight w:val="none"/>
        </w:rPr>
        <w:t>（三）一般公共预算财政拨款支出决算具体情况。</w:t>
      </w:r>
      <w:bookmarkEnd w:id="89"/>
      <w:bookmarkEnd w:id="90"/>
      <w:bookmarkEnd w:id="91"/>
      <w:bookmarkEnd w:id="92"/>
      <w:bookmarkEnd w:id="93"/>
      <w:bookmarkEnd w:id="94"/>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年度一般公共预算财政拨款支出年初预算为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485.59</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万元，支出决算为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199.24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万元，完成年初预算的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41.0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%。其中：</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1.社会保障和就业（类）行政事业单位养老（款）机关事业单位基本养老保险缴费（项）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ˎ̥" w:eastAsia="仿宋_GB2312"/>
          <w:color w:val="FF0000"/>
          <w:sz w:val="32"/>
          <w:szCs w:val="32"/>
          <w:highlight w:val="none"/>
        </w:rPr>
      </w:pPr>
      <w:r>
        <w:rPr>
          <w:rFonts w:hint="eastAsia" w:ascii="仿宋_GB2312" w:hAnsi="ˎ̥" w:eastAsia="仿宋_GB2312"/>
          <w:color w:val="000000" w:themeColor="text1"/>
          <w:sz w:val="32"/>
          <w:szCs w:val="32"/>
          <w:highlight w:val="none"/>
          <w14:textFill>
            <w14:solidFill>
              <w14:schemeClr w14:val="tx1"/>
            </w14:solidFill>
          </w14:textFill>
        </w:rPr>
        <w:t>年初预算为</w:t>
      </w:r>
      <w:r>
        <w:rPr>
          <w:rFonts w:hint="eastAsia" w:ascii="仿宋_GB2312" w:hAnsi="ˎ̥" w:eastAsia="仿宋_GB2312"/>
          <w:color w:val="000000" w:themeColor="text1"/>
          <w:sz w:val="32"/>
          <w:szCs w:val="32"/>
          <w:highlight w:val="none"/>
          <w:lang w:val="en-US" w:eastAsia="zh-CN"/>
          <w14:textFill>
            <w14:solidFill>
              <w14:schemeClr w14:val="tx1"/>
            </w14:solidFill>
          </w14:textFill>
        </w:rPr>
        <w:t>20.41</w:t>
      </w:r>
      <w:r>
        <w:rPr>
          <w:rFonts w:hint="eastAsia" w:ascii="仿宋_GB2312" w:hAnsi="ˎ̥" w:eastAsia="仿宋_GB2312"/>
          <w:color w:val="000000" w:themeColor="text1"/>
          <w:sz w:val="32"/>
          <w:szCs w:val="32"/>
          <w:highlight w:val="none"/>
          <w14:textFill>
            <w14:solidFill>
              <w14:schemeClr w14:val="tx1"/>
            </w14:solidFill>
          </w14:textFill>
        </w:rPr>
        <w:t>万元，支出决算为</w:t>
      </w:r>
      <w:r>
        <w:rPr>
          <w:rFonts w:hint="eastAsia" w:ascii="仿宋_GB2312" w:hAnsi="ˎ̥" w:eastAsia="仿宋_GB2312"/>
          <w:color w:val="000000" w:themeColor="text1"/>
          <w:sz w:val="32"/>
          <w:szCs w:val="32"/>
          <w:highlight w:val="none"/>
          <w:lang w:val="en-US" w:eastAsia="zh-CN"/>
          <w14:textFill>
            <w14:solidFill>
              <w14:schemeClr w14:val="tx1"/>
            </w14:solidFill>
          </w14:textFill>
        </w:rPr>
        <w:t>5.23</w:t>
      </w:r>
      <w:r>
        <w:rPr>
          <w:rFonts w:hint="eastAsia" w:ascii="仿宋_GB2312" w:hAnsi="ˎ̥" w:eastAsia="仿宋_GB2312"/>
          <w:color w:val="000000" w:themeColor="text1"/>
          <w:sz w:val="32"/>
          <w:szCs w:val="32"/>
          <w:highlight w:val="none"/>
          <w14:textFill>
            <w14:solidFill>
              <w14:schemeClr w14:val="tx1"/>
            </w14:solidFill>
          </w14:textFill>
        </w:rPr>
        <w:t>万元，完成年初预算的</w:t>
      </w:r>
      <w:r>
        <w:rPr>
          <w:rFonts w:hint="eastAsia" w:ascii="仿宋_GB2312" w:hAnsi="ˎ̥" w:eastAsia="仿宋_GB2312"/>
          <w:color w:val="000000" w:themeColor="text1"/>
          <w:sz w:val="32"/>
          <w:szCs w:val="32"/>
          <w:highlight w:val="none"/>
          <w:lang w:val="en-US" w:eastAsia="zh-CN"/>
          <w14:textFill>
            <w14:solidFill>
              <w14:schemeClr w14:val="tx1"/>
            </w14:solidFill>
          </w14:textFill>
        </w:rPr>
        <w:t>25.6</w:t>
      </w:r>
      <w:r>
        <w:rPr>
          <w:rFonts w:hint="eastAsia" w:ascii="仿宋_GB2312" w:hAnsi="ˎ̥" w:eastAsia="仿宋_GB2312"/>
          <w:color w:val="000000" w:themeColor="text1"/>
          <w:sz w:val="32"/>
          <w:szCs w:val="32"/>
          <w:highlight w:val="none"/>
          <w14:textFill>
            <w14:solidFill>
              <w14:schemeClr w14:val="tx1"/>
            </w14:solidFill>
          </w14:textFill>
        </w:rPr>
        <w:t>%。</w:t>
      </w:r>
      <w:r>
        <w:rPr>
          <w:rFonts w:hint="eastAsia" w:ascii="仿宋_GB2312" w:hAnsi="ˎ̥" w:eastAsia="仿宋_GB2312"/>
          <w:color w:val="FF0000"/>
          <w:sz w:val="32"/>
          <w:szCs w:val="32"/>
          <w:highlight w:val="none"/>
        </w:rPr>
        <w:t>决算数小于预算数的主要原因：</w:t>
      </w:r>
      <w:r>
        <w:rPr>
          <w:rFonts w:hint="eastAsia" w:ascii="仿宋_GB2312" w:hAnsi="ˎ̥" w:eastAsia="仿宋_GB2312"/>
          <w:color w:val="FF0000"/>
          <w:sz w:val="32"/>
          <w:szCs w:val="32"/>
          <w:highlight w:val="none"/>
          <w:lang w:eastAsia="zh-CN"/>
        </w:rPr>
        <w:t>人员退休减少支出</w:t>
      </w:r>
      <w:r>
        <w:rPr>
          <w:rFonts w:hint="eastAsia" w:ascii="仿宋_GB2312" w:hAnsi="ˎ̥" w:eastAsia="仿宋_GB2312"/>
          <w:color w:val="FF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2</w:t>
      </w:r>
      <w:r>
        <w:rPr>
          <w:rFonts w:hint="eastAsia" w:ascii="仿宋_GB2312" w:hAnsi="仿宋_GB2312" w:eastAsia="仿宋_GB2312" w:cs="仿宋_GB2312"/>
          <w:b/>
          <w:sz w:val="32"/>
          <w:szCs w:val="32"/>
        </w:rPr>
        <w:t>.社会保障和就业（类）行政事业单位养老（款）机关事业单位</w:t>
      </w:r>
      <w:r>
        <w:rPr>
          <w:rFonts w:hint="eastAsia" w:ascii="仿宋_GB2312" w:hAnsi="仿宋_GB2312" w:eastAsia="仿宋_GB2312" w:cs="仿宋_GB2312"/>
          <w:b/>
          <w:sz w:val="32"/>
          <w:szCs w:val="32"/>
          <w:lang w:eastAsia="zh-CN"/>
        </w:rPr>
        <w:t>职业年金缴费</w:t>
      </w:r>
      <w:r>
        <w:rPr>
          <w:rFonts w:hint="eastAsia" w:ascii="仿宋_GB2312" w:hAnsi="仿宋_GB2312" w:eastAsia="仿宋_GB2312" w:cs="仿宋_GB2312"/>
          <w:b/>
          <w:sz w:val="32"/>
          <w:szCs w:val="32"/>
        </w:rPr>
        <w:t>（项）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ˎ̥" w:eastAsia="仿宋_GB2312"/>
          <w:color w:val="FF0000"/>
          <w:sz w:val="32"/>
          <w:szCs w:val="32"/>
          <w:highlight w:val="none"/>
        </w:rPr>
      </w:pPr>
      <w:r>
        <w:rPr>
          <w:rFonts w:hint="eastAsia" w:ascii="仿宋_GB2312" w:hAnsi="ˎ̥" w:eastAsia="仿宋_GB2312"/>
          <w:color w:val="000000" w:themeColor="text1"/>
          <w:sz w:val="32"/>
          <w:szCs w:val="32"/>
          <w:highlight w:val="none"/>
          <w14:textFill>
            <w14:solidFill>
              <w14:schemeClr w14:val="tx1"/>
            </w14:solidFill>
          </w14:textFill>
        </w:rPr>
        <w:t>年初预算为</w:t>
      </w:r>
      <w:r>
        <w:rPr>
          <w:rFonts w:hint="eastAsia" w:ascii="仿宋_GB2312" w:hAnsi="ˎ̥" w:eastAsia="仿宋_GB2312"/>
          <w:color w:val="000000" w:themeColor="text1"/>
          <w:sz w:val="32"/>
          <w:szCs w:val="32"/>
          <w:highlight w:val="none"/>
          <w:lang w:val="en-US" w:eastAsia="zh-CN"/>
          <w14:textFill>
            <w14:solidFill>
              <w14:schemeClr w14:val="tx1"/>
            </w14:solidFill>
          </w14:textFill>
        </w:rPr>
        <w:t>40.21</w:t>
      </w:r>
      <w:r>
        <w:rPr>
          <w:rFonts w:hint="eastAsia" w:ascii="仿宋_GB2312" w:hAnsi="ˎ̥" w:eastAsia="仿宋_GB2312"/>
          <w:color w:val="000000" w:themeColor="text1"/>
          <w:sz w:val="32"/>
          <w:szCs w:val="32"/>
          <w:highlight w:val="none"/>
          <w14:textFill>
            <w14:solidFill>
              <w14:schemeClr w14:val="tx1"/>
            </w14:solidFill>
          </w14:textFill>
        </w:rPr>
        <w:t>万元，支出决算为</w:t>
      </w:r>
      <w:r>
        <w:rPr>
          <w:rFonts w:hint="eastAsia" w:ascii="仿宋_GB2312" w:hAnsi="ˎ̥" w:eastAsia="仿宋_GB2312"/>
          <w:color w:val="000000" w:themeColor="text1"/>
          <w:sz w:val="32"/>
          <w:szCs w:val="32"/>
          <w:highlight w:val="none"/>
          <w:lang w:val="en-US" w:eastAsia="zh-CN"/>
          <w14:textFill>
            <w14:solidFill>
              <w14:schemeClr w14:val="tx1"/>
            </w14:solidFill>
          </w14:textFill>
        </w:rPr>
        <w:t>17.86</w:t>
      </w:r>
      <w:r>
        <w:rPr>
          <w:rFonts w:hint="eastAsia" w:ascii="仿宋_GB2312" w:hAnsi="ˎ̥" w:eastAsia="仿宋_GB2312"/>
          <w:color w:val="000000" w:themeColor="text1"/>
          <w:sz w:val="32"/>
          <w:szCs w:val="32"/>
          <w:highlight w:val="none"/>
          <w14:textFill>
            <w14:solidFill>
              <w14:schemeClr w14:val="tx1"/>
            </w14:solidFill>
          </w14:textFill>
        </w:rPr>
        <w:t>万元，完成年初预算的</w:t>
      </w:r>
      <w:r>
        <w:rPr>
          <w:rFonts w:hint="eastAsia" w:ascii="仿宋_GB2312" w:hAnsi="ˎ̥" w:eastAsia="仿宋_GB2312"/>
          <w:color w:val="000000" w:themeColor="text1"/>
          <w:sz w:val="32"/>
          <w:szCs w:val="32"/>
          <w:highlight w:val="none"/>
          <w:lang w:val="en-US" w:eastAsia="zh-CN"/>
          <w14:textFill>
            <w14:solidFill>
              <w14:schemeClr w14:val="tx1"/>
            </w14:solidFill>
          </w14:textFill>
        </w:rPr>
        <w:t>44.4</w:t>
      </w:r>
      <w:r>
        <w:rPr>
          <w:rFonts w:hint="eastAsia" w:ascii="仿宋_GB2312" w:hAnsi="ˎ̥" w:eastAsia="仿宋_GB2312"/>
          <w:color w:val="000000" w:themeColor="text1"/>
          <w:sz w:val="32"/>
          <w:szCs w:val="32"/>
          <w:highlight w:val="none"/>
          <w14:textFill>
            <w14:solidFill>
              <w14:schemeClr w14:val="tx1"/>
            </w14:solidFill>
          </w14:textFill>
        </w:rPr>
        <w:t>%。</w:t>
      </w:r>
      <w:r>
        <w:rPr>
          <w:rFonts w:hint="eastAsia" w:ascii="仿宋_GB2312" w:hAnsi="ˎ̥" w:eastAsia="仿宋_GB2312"/>
          <w:color w:val="FF0000"/>
          <w:sz w:val="32"/>
          <w:szCs w:val="32"/>
          <w:highlight w:val="none"/>
        </w:rPr>
        <w:t>决算数小于预算数的主要原因：</w:t>
      </w:r>
      <w:r>
        <w:rPr>
          <w:rFonts w:hint="eastAsia" w:ascii="仿宋_GB2312" w:hAnsi="ˎ̥" w:eastAsia="仿宋_GB2312"/>
          <w:color w:val="FF0000"/>
          <w:sz w:val="32"/>
          <w:szCs w:val="32"/>
          <w:highlight w:val="none"/>
          <w:lang w:eastAsia="zh-CN"/>
        </w:rPr>
        <w:t>人员退休减少支出</w:t>
      </w:r>
      <w:r>
        <w:rPr>
          <w:rFonts w:hint="eastAsia" w:ascii="仿宋_GB2312" w:hAnsi="ˎ̥" w:eastAsia="仿宋_GB2312"/>
          <w:color w:val="FF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rPr>
        <w:t>.社会保障和就业（类）抚恤（款）其他优抚（项）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FF0000"/>
          <w:sz w:val="32"/>
          <w:szCs w:val="32"/>
        </w:rPr>
      </w:pPr>
      <w:r>
        <w:rPr>
          <w:rFonts w:hint="eastAsia" w:ascii="Times New Roman" w:hAnsi="Times New Roman" w:eastAsia="仿宋_GB2312" w:cs="Times New Roman"/>
          <w:color w:val="auto"/>
          <w:sz w:val="32"/>
          <w:szCs w:val="32"/>
        </w:rPr>
        <w:t>年初预算为</w:t>
      </w:r>
      <w:r>
        <w:rPr>
          <w:rFonts w:hint="eastAsia" w:ascii="Times New Roman" w:hAnsi="Times New Roman" w:eastAsia="仿宋_GB2312" w:cs="Times New Roman"/>
          <w:color w:val="auto"/>
          <w:sz w:val="32"/>
          <w:szCs w:val="32"/>
          <w:lang w:val="en-US" w:eastAsia="zh-CN"/>
        </w:rPr>
        <w:t>4.32</w:t>
      </w:r>
      <w:r>
        <w:rPr>
          <w:rFonts w:hint="eastAsia"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1.37</w:t>
      </w:r>
      <w:r>
        <w:rPr>
          <w:rFonts w:hint="eastAsia" w:ascii="Times New Roman" w:hAnsi="Times New Roman" w:eastAsia="仿宋_GB2312" w:cs="Times New Roman"/>
          <w:color w:val="auto"/>
          <w:sz w:val="32"/>
          <w:szCs w:val="32"/>
        </w:rPr>
        <w:t>万元，完成年初预算的</w:t>
      </w:r>
      <w:r>
        <w:rPr>
          <w:rFonts w:hint="eastAsia" w:ascii="Times New Roman" w:hAnsi="Times New Roman" w:eastAsia="仿宋_GB2312" w:cs="Times New Roman"/>
          <w:color w:val="auto"/>
          <w:sz w:val="32"/>
          <w:szCs w:val="32"/>
          <w:lang w:val="en-US" w:eastAsia="zh-CN"/>
        </w:rPr>
        <w:t>31.7</w:t>
      </w:r>
      <w:r>
        <w:rPr>
          <w:rFonts w:hint="eastAsia" w:ascii="Times New Roman" w:hAnsi="Times New Roman" w:eastAsia="仿宋_GB2312" w:cs="Times New Roman"/>
          <w:color w:val="auto"/>
          <w:sz w:val="32"/>
          <w:szCs w:val="32"/>
        </w:rPr>
        <w:t>%。</w:t>
      </w:r>
      <w:r>
        <w:rPr>
          <w:rFonts w:hint="eastAsia" w:ascii="仿宋_GB2312" w:hAnsi="ˎ̥" w:eastAsia="仿宋_GB2312"/>
          <w:color w:val="FF0000"/>
          <w:sz w:val="32"/>
          <w:szCs w:val="32"/>
          <w:highlight w:val="none"/>
        </w:rPr>
        <w:t>决算数小于预算数的主要原因：社会保障和就业（类）抚恤（款）其他优抚（项）</w:t>
      </w:r>
      <w:r>
        <w:rPr>
          <w:rFonts w:hint="eastAsia" w:ascii="仿宋_GB2312" w:hAnsi="ˎ̥" w:eastAsia="仿宋_GB2312"/>
          <w:color w:val="FF0000"/>
          <w:sz w:val="32"/>
          <w:szCs w:val="32"/>
          <w:highlight w:val="none"/>
          <w:lang w:eastAsia="zh-CN"/>
        </w:rPr>
        <w:t>支出减少</w:t>
      </w:r>
      <w:r>
        <w:rPr>
          <w:rFonts w:hint="eastAsia" w:ascii="仿宋_GB2312" w:hAnsi="ˎ̥" w:eastAsia="仿宋_GB2312"/>
          <w:color w:val="FF0000"/>
          <w:sz w:val="32"/>
          <w:szCs w:val="32"/>
          <w:highlight w:val="none"/>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4</w:t>
      </w:r>
      <w:r>
        <w:rPr>
          <w:rFonts w:hint="eastAsia" w:ascii="仿宋_GB2312" w:hAnsi="仿宋_GB2312" w:eastAsia="仿宋_GB2312" w:cs="仿宋_GB2312"/>
          <w:b/>
          <w:sz w:val="32"/>
          <w:szCs w:val="32"/>
        </w:rPr>
        <w:t>.卫生健康（类）行政事业单位医疗（款）事业单位医疗（项）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FF0000"/>
          <w:sz w:val="32"/>
          <w:szCs w:val="32"/>
          <w:lang w:eastAsia="zh-CN"/>
        </w:rPr>
      </w:pPr>
      <w:r>
        <w:rPr>
          <w:rFonts w:hint="eastAsia" w:ascii="Times New Roman" w:hAnsi="Times New Roman" w:eastAsia="仿宋_GB2312" w:cs="Times New Roman"/>
          <w:color w:val="auto"/>
          <w:sz w:val="32"/>
          <w:szCs w:val="32"/>
        </w:rPr>
        <w:t>年初预算为</w:t>
      </w:r>
      <w:r>
        <w:rPr>
          <w:rFonts w:hint="eastAsia" w:ascii="Times New Roman" w:hAnsi="Times New Roman" w:eastAsia="仿宋_GB2312" w:cs="Times New Roman"/>
          <w:color w:val="auto"/>
          <w:sz w:val="32"/>
          <w:szCs w:val="32"/>
          <w:lang w:val="en-US" w:eastAsia="zh-CN"/>
        </w:rPr>
        <w:t>9.14</w:t>
      </w:r>
      <w:r>
        <w:rPr>
          <w:rFonts w:hint="eastAsia"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2.35</w:t>
      </w:r>
      <w:r>
        <w:rPr>
          <w:rFonts w:hint="eastAsia" w:ascii="Times New Roman" w:hAnsi="Times New Roman" w:eastAsia="仿宋_GB2312" w:cs="Times New Roman"/>
          <w:color w:val="auto"/>
          <w:sz w:val="32"/>
          <w:szCs w:val="32"/>
        </w:rPr>
        <w:t>万元，完成年初预算的</w:t>
      </w:r>
      <w:r>
        <w:rPr>
          <w:rFonts w:hint="eastAsia" w:ascii="Times New Roman" w:hAnsi="Times New Roman" w:eastAsia="仿宋_GB2312" w:cs="Times New Roman"/>
          <w:color w:val="auto"/>
          <w:sz w:val="32"/>
          <w:szCs w:val="32"/>
          <w:lang w:val="en-US" w:eastAsia="zh-CN"/>
        </w:rPr>
        <w:t>25.7</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FF0000"/>
          <w:sz w:val="32"/>
          <w:szCs w:val="32"/>
        </w:rPr>
        <w:t>决算数小于预算数的主要原因：卫生健康（类）行政事业单位医疗（款）事业单位医疗（项）</w:t>
      </w:r>
      <w:r>
        <w:rPr>
          <w:rFonts w:hint="eastAsia" w:eastAsia="仿宋_GB2312" w:cs="Times New Roman"/>
          <w:color w:val="FF0000"/>
          <w:sz w:val="32"/>
          <w:szCs w:val="32"/>
          <w:lang w:eastAsia="zh-CN"/>
        </w:rPr>
        <w:t>支出减少。</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5</w:t>
      </w:r>
      <w:r>
        <w:rPr>
          <w:rFonts w:hint="eastAsia" w:ascii="仿宋_GB2312" w:hAnsi="仿宋_GB2312" w:eastAsia="仿宋_GB2312" w:cs="仿宋_GB2312"/>
          <w:b/>
          <w:sz w:val="32"/>
          <w:szCs w:val="32"/>
        </w:rPr>
        <w:t>.卫生健康（类）行政事业单位医疗（款）公务员医疗补助（项）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FF0000"/>
          <w:sz w:val="32"/>
          <w:szCs w:val="32"/>
        </w:rPr>
      </w:pPr>
      <w:r>
        <w:rPr>
          <w:rFonts w:hint="eastAsia" w:ascii="Times New Roman" w:hAnsi="Times New Roman" w:eastAsia="仿宋_GB2312" w:cs="Times New Roman"/>
          <w:color w:val="auto"/>
          <w:sz w:val="32"/>
          <w:szCs w:val="32"/>
        </w:rPr>
        <w:t>年初预算为</w:t>
      </w:r>
      <w:r>
        <w:rPr>
          <w:rFonts w:hint="eastAsia" w:ascii="Times New Roman" w:hAnsi="Times New Roman" w:eastAsia="仿宋_GB2312" w:cs="Times New Roman"/>
          <w:color w:val="auto"/>
          <w:sz w:val="32"/>
          <w:szCs w:val="32"/>
          <w:lang w:val="en-US" w:eastAsia="zh-CN"/>
        </w:rPr>
        <w:t>38.2</w:t>
      </w:r>
      <w:r>
        <w:rPr>
          <w:rFonts w:hint="eastAsia"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9.42</w:t>
      </w:r>
      <w:r>
        <w:rPr>
          <w:rFonts w:hint="eastAsia" w:ascii="Times New Roman" w:hAnsi="Times New Roman" w:eastAsia="仿宋_GB2312" w:cs="Times New Roman"/>
          <w:color w:val="auto"/>
          <w:sz w:val="32"/>
          <w:szCs w:val="32"/>
        </w:rPr>
        <w:t>万元，完成年初预算的</w:t>
      </w:r>
      <w:r>
        <w:rPr>
          <w:rFonts w:hint="eastAsia" w:ascii="Times New Roman" w:hAnsi="Times New Roman" w:eastAsia="仿宋_GB2312" w:cs="Times New Roman"/>
          <w:color w:val="auto"/>
          <w:sz w:val="32"/>
          <w:szCs w:val="32"/>
          <w:lang w:val="en-US" w:eastAsia="zh-CN"/>
        </w:rPr>
        <w:t>24.7</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FF0000"/>
          <w:sz w:val="32"/>
          <w:szCs w:val="32"/>
        </w:rPr>
        <w:t>决算数小于预算数的主要原因：卫生健康（类）行政事业单位医疗（款）公务员医疗补助（项）</w:t>
      </w:r>
      <w:r>
        <w:rPr>
          <w:rFonts w:hint="eastAsia" w:eastAsia="仿宋_GB2312" w:cs="Times New Roman"/>
          <w:color w:val="FF0000"/>
          <w:sz w:val="32"/>
          <w:szCs w:val="32"/>
          <w:lang w:eastAsia="zh-CN"/>
        </w:rPr>
        <w:t>支出减少</w:t>
      </w:r>
      <w:r>
        <w:rPr>
          <w:rFonts w:hint="eastAsia" w:ascii="Times New Roman" w:hAnsi="Times New Roman" w:eastAsia="仿宋_GB2312" w:cs="Times New Roman"/>
          <w:color w:val="FF0000"/>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6</w:t>
      </w:r>
      <w:r>
        <w:rPr>
          <w:rFonts w:hint="eastAsia" w:ascii="仿宋_GB2312" w:hAnsi="仿宋_GB2312" w:eastAsia="仿宋_GB2312" w:cs="仿宋_GB2312"/>
          <w:b/>
          <w:sz w:val="32"/>
          <w:szCs w:val="32"/>
        </w:rPr>
        <w:t>.交通运输（类）公路水路运输（款）水路运输管理（项）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FF0000"/>
          <w:sz w:val="32"/>
          <w:szCs w:val="32"/>
        </w:rPr>
      </w:pPr>
      <w:r>
        <w:rPr>
          <w:rFonts w:hint="eastAsia" w:ascii="Times New Roman" w:hAnsi="Times New Roman" w:eastAsia="仿宋_GB2312" w:cs="Times New Roman"/>
          <w:color w:val="auto"/>
          <w:sz w:val="32"/>
          <w:szCs w:val="32"/>
        </w:rPr>
        <w:t>年初预算</w:t>
      </w:r>
      <w:r>
        <w:rPr>
          <w:rFonts w:hint="eastAsia" w:ascii="Times New Roman" w:hAnsi="Times New Roman" w:eastAsia="仿宋_GB2312" w:cs="Times New Roman"/>
          <w:color w:val="auto"/>
          <w:sz w:val="32"/>
          <w:szCs w:val="32"/>
          <w:lang w:eastAsia="zh-CN"/>
        </w:rPr>
        <w:t>为</w:t>
      </w:r>
      <w:r>
        <w:rPr>
          <w:rFonts w:hint="eastAsia" w:ascii="Times New Roman" w:hAnsi="Times New Roman" w:eastAsia="仿宋_GB2312" w:cs="Times New Roman"/>
          <w:color w:val="auto"/>
          <w:sz w:val="32"/>
          <w:szCs w:val="32"/>
          <w:lang w:val="en-US" w:eastAsia="zh-CN"/>
        </w:rPr>
        <w:t>483.47</w:t>
      </w:r>
      <w:r>
        <w:rPr>
          <w:rFonts w:hint="eastAsia"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158.09</w:t>
      </w:r>
      <w:r>
        <w:rPr>
          <w:rFonts w:hint="eastAsia" w:ascii="Times New Roman" w:hAnsi="Times New Roman" w:eastAsia="仿宋_GB2312" w:cs="Times New Roman"/>
          <w:color w:val="auto"/>
          <w:sz w:val="32"/>
          <w:szCs w:val="32"/>
        </w:rPr>
        <w:t>万元，完成年初预算的</w:t>
      </w:r>
      <w:r>
        <w:rPr>
          <w:rFonts w:hint="eastAsia" w:ascii="Times New Roman" w:hAnsi="Times New Roman" w:eastAsia="仿宋_GB2312" w:cs="Times New Roman"/>
          <w:color w:val="auto"/>
          <w:sz w:val="32"/>
          <w:szCs w:val="32"/>
          <w:lang w:val="en-US" w:eastAsia="zh-CN"/>
        </w:rPr>
        <w:t>32.7</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FF0000"/>
          <w:sz w:val="32"/>
          <w:szCs w:val="32"/>
        </w:rPr>
        <w:t>决算数小于预算数的主要原因：交通运输（类）公路水路运输（款）水路运输管理（项）</w:t>
      </w:r>
      <w:r>
        <w:rPr>
          <w:rFonts w:hint="eastAsia" w:eastAsia="仿宋_GB2312" w:cs="Times New Roman"/>
          <w:color w:val="FF0000"/>
          <w:sz w:val="32"/>
          <w:szCs w:val="32"/>
          <w:lang w:eastAsia="zh-CN"/>
        </w:rPr>
        <w:t>支出减少</w:t>
      </w:r>
      <w:r>
        <w:rPr>
          <w:rFonts w:hint="eastAsia" w:ascii="Times New Roman" w:hAnsi="Times New Roman" w:eastAsia="仿宋_GB2312" w:cs="Times New Roman"/>
          <w:color w:val="FF0000"/>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交</w:t>
      </w:r>
      <w:r>
        <w:rPr>
          <w:rFonts w:hint="eastAsia" w:ascii="仿宋_GB2312" w:hAnsi="仿宋_GB2312" w:eastAsia="仿宋_GB2312" w:cs="仿宋_GB2312"/>
          <w:b/>
          <w:sz w:val="32"/>
          <w:szCs w:val="32"/>
        </w:rPr>
        <w:t>通运输（类）公路水路运输（款）</w:t>
      </w:r>
      <w:r>
        <w:rPr>
          <w:rFonts w:hint="eastAsia" w:ascii="仿宋_GB2312" w:hAnsi="仿宋_GB2312" w:eastAsia="仿宋_GB2312" w:cs="仿宋_GB2312"/>
          <w:b/>
          <w:sz w:val="32"/>
          <w:szCs w:val="32"/>
          <w:lang w:eastAsia="zh-CN"/>
        </w:rPr>
        <w:t>其他公路</w:t>
      </w:r>
      <w:r>
        <w:rPr>
          <w:rFonts w:hint="eastAsia" w:ascii="仿宋_GB2312" w:hAnsi="仿宋_GB2312" w:eastAsia="仿宋_GB2312" w:cs="仿宋_GB2312"/>
          <w:b/>
          <w:sz w:val="32"/>
          <w:szCs w:val="32"/>
        </w:rPr>
        <w:t>水路运输（项）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rPr>
        <w:t>年初预算为</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sz w:val="32"/>
          <w:szCs w:val="32"/>
        </w:rPr>
        <w:t>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8</w:t>
      </w:r>
      <w:r>
        <w:rPr>
          <w:rFonts w:hint="eastAsia" w:ascii="仿宋_GB2312" w:hAnsi="仿宋_GB2312" w:eastAsia="仿宋_GB2312" w:cs="仿宋_GB2312"/>
          <w:b/>
          <w:sz w:val="32"/>
          <w:szCs w:val="32"/>
        </w:rPr>
        <w:t>.住房保障（类）住房改革（款）住房公积金（项）</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21.84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年初预算为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21.84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万元，支出决算为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4.93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万元，完成年初预算的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22.6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FF0000"/>
          <w:sz w:val="32"/>
          <w:szCs w:val="32"/>
          <w:highlight w:val="none"/>
        </w:rPr>
        <w:t>决算数小于预算数的主要原因：住房保障（类）住房改革（款）住房公积金（项）</w:t>
      </w:r>
      <w:r>
        <w:rPr>
          <w:rFonts w:hint="eastAsia" w:eastAsia="仿宋_GB2312" w:cs="Times New Roman"/>
          <w:color w:val="FF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color w:val="000000"/>
          <w:sz w:val="32"/>
          <w:szCs w:val="32"/>
          <w:highlight w:val="none"/>
        </w:rPr>
      </w:pPr>
      <w:r>
        <w:rPr>
          <w:rFonts w:hint="eastAsia" w:ascii="黑体" w:hAnsi="黑体" w:eastAsia="黑体" w:cs="黑体"/>
          <w:bCs/>
          <w:color w:val="000000"/>
          <w:sz w:val="32"/>
          <w:szCs w:val="32"/>
          <w:highlight w:val="none"/>
        </w:rPr>
        <w:t>六、一般公共预算财政拨款基本支出决算情况说明</w:t>
      </w:r>
    </w:p>
    <w:p>
      <w:pPr>
        <w:keepNext w:val="0"/>
        <w:keepLines w:val="0"/>
        <w:pageBreakBefore w:val="0"/>
        <w:tabs>
          <w:tab w:val="center" w:pos="4473"/>
        </w:tabs>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202</w:t>
      </w:r>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rPr>
        <w:t>年度财政拨款基本支出</w:t>
      </w:r>
      <w:r>
        <w:rPr>
          <w:rFonts w:hint="eastAsia" w:ascii="仿宋_GB2312" w:hAnsi="仿宋_GB2312" w:eastAsia="仿宋_GB2312" w:cs="仿宋_GB2312"/>
          <w:b/>
          <w:sz w:val="32"/>
          <w:szCs w:val="32"/>
          <w:lang w:val="en-US" w:eastAsia="zh-CN"/>
        </w:rPr>
        <w:t>167.16</w:t>
      </w:r>
      <w:r>
        <w:rPr>
          <w:rFonts w:hint="eastAsia" w:ascii="仿宋_GB2312" w:hAnsi="仿宋_GB2312" w:eastAsia="仿宋_GB2312" w:cs="仿宋_GB2312"/>
          <w:b/>
          <w:sz w:val="32"/>
          <w:szCs w:val="32"/>
        </w:rPr>
        <w:t>万元，其中：人员经费</w:t>
      </w:r>
      <w:r>
        <w:rPr>
          <w:rFonts w:hint="eastAsia" w:ascii="仿宋_GB2312" w:hAnsi="仿宋_GB2312" w:eastAsia="仿宋_GB2312" w:cs="仿宋_GB2312"/>
          <w:b/>
          <w:sz w:val="32"/>
          <w:szCs w:val="32"/>
          <w:lang w:val="en-US" w:eastAsia="zh-CN"/>
        </w:rPr>
        <w:t>162.32</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主要包括：工资福利支出中的基本工资、津贴补贴、奖金、绩效工资、机关事业单位基本养老保险缴费、职业年金缴费、职工基本医疗保险缴费、公务员医疗补助缴费、其他社会保障缴费、住房公积金、其他工资福利支出；对个人和家庭的补助中的生活补助、其他对个人和家庭的补助。</w:t>
      </w:r>
      <w:r>
        <w:rPr>
          <w:rFonts w:hint="eastAsia" w:ascii="仿宋_GB2312" w:hAnsi="仿宋_GB2312" w:eastAsia="仿宋_GB2312" w:cs="仿宋_GB2312"/>
          <w:b/>
          <w:sz w:val="32"/>
          <w:szCs w:val="32"/>
        </w:rPr>
        <w:t>公用经费</w:t>
      </w:r>
      <w:r>
        <w:rPr>
          <w:rFonts w:hint="eastAsia" w:ascii="仿宋_GB2312" w:hAnsi="仿宋_GB2312" w:eastAsia="仿宋_GB2312" w:cs="仿宋_GB2312"/>
          <w:b/>
          <w:sz w:val="32"/>
          <w:szCs w:val="32"/>
          <w:lang w:val="en-US" w:eastAsia="zh-CN"/>
        </w:rPr>
        <w:t>4.84</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主要包括：商品和服务支出中的办公费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邮电费、工会经费、其他商品和服务支出。</w:t>
      </w:r>
    </w:p>
    <w:p>
      <w:pPr>
        <w:keepNext w:val="0"/>
        <w:keepLines w:val="0"/>
        <w:pageBreakBefore w:val="0"/>
        <w:tabs>
          <w:tab w:val="center" w:pos="4473"/>
        </w:tabs>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七、政府性基金预算财政拨款支出决算情况说明</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（一）政府性基金预算财政拨款支出决算总体情况。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年度政府性基金预算财政拨款支出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万元，占本年支出合计的</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%。与202</w:t>
      </w:r>
      <w:r>
        <w:rPr>
          <w:rFonts w:hint="default"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rPr>
        <w:t>年度相比，政府性基金预算财政拨款支出增加</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（二）政府性基金预算财政拨款支出决算结构情况。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ˎ̥" w:eastAsia="仿宋_GB2312"/>
          <w:color w:val="000000"/>
          <w:sz w:val="32"/>
          <w:szCs w:val="32"/>
          <w:highlight w:val="none"/>
        </w:rPr>
      </w:pPr>
      <w:r>
        <w:rPr>
          <w:rFonts w:hint="eastAsia" w:ascii="Times New Roman" w:hAnsi="Times New Roman" w:eastAsia="仿宋_GB2312" w:cs="Times New Roman"/>
          <w:color w:val="000000"/>
          <w:sz w:val="32"/>
          <w:szCs w:val="32"/>
          <w:highlight w:val="none"/>
        </w:rPr>
        <w:t>202</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年度政府性基金预算财政拨款支出</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万元。</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（三）政府性基金预算财政拨款支出决算具体情况。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highlight w:val="none"/>
        </w:rPr>
        <w:t>202</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年度政府性基金预算财政拨款支出年初预算为</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万元，支出决算为</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万元。</w:t>
      </w:r>
    </w:p>
    <w:p>
      <w:pPr>
        <w:keepNext w:val="0"/>
        <w:keepLines w:val="0"/>
        <w:pageBreakBefore w:val="0"/>
        <w:tabs>
          <w:tab w:val="center" w:pos="4473"/>
        </w:tabs>
        <w:kinsoku/>
        <w:wordWrap/>
        <w:overflowPunct/>
        <w:topLinePunct w:val="0"/>
        <w:autoSpaceDE/>
        <w:autoSpaceDN/>
        <w:bidi w:val="0"/>
        <w:adjustRightInd/>
        <w:snapToGrid/>
        <w:spacing w:line="240" w:lineRule="auto"/>
        <w:ind w:left="0" w:leftChars="0"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八、国有资本经营预算财政拨款支出决算情况说明</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（一）国有资本经营预算财政拨款支出决算总体情况。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rPr>
        <w:t>202</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年度国有资本经营预算财政拨款支出</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万元，占本年支出合计的</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%。与202</w:t>
      </w: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rPr>
        <w:t>年度相比，国有资本经营预算财政拨款支出增加</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rPr>
        <w:t>万元</w:t>
      </w:r>
      <w:r>
        <w:rPr>
          <w:rFonts w:hint="eastAsia" w:ascii="Times New Roman" w:hAnsi="Times New Roman" w:eastAsia="仿宋_GB2312" w:cs="Times New Roman"/>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（二）国有资本经营预算财政拨款支出决算结构情况。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年度国有资本经营预算财政拨款支出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（三）国有资本经营预算财政拨款支出决算具体情况。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年度国有资本经营预算财政拨款支出年初预算为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万元，支出决算为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w:t>
      </w:r>
      <w:r>
        <w:rPr>
          <w:rFonts w:hint="default" w:ascii="Times New Roman" w:hAnsi="Times New Roman" w:eastAsia="仿宋_GB2312" w:cs="Times New Roman"/>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240" w:lineRule="auto"/>
        <w:ind w:left="0" w:leftChars="0" w:firstLine="627" w:firstLineChars="196"/>
        <w:textAlignment w:val="auto"/>
        <w:rPr>
          <w:rFonts w:hint="eastAsia" w:ascii="仿宋_GB2312" w:hAnsi="ˎ̥" w:eastAsia="楷体_GB2312"/>
          <w:color w:val="000000"/>
          <w:sz w:val="32"/>
          <w:szCs w:val="32"/>
          <w:highlight w:val="none"/>
        </w:rPr>
      </w:pPr>
      <w:r>
        <w:rPr>
          <w:rFonts w:hint="eastAsia" w:ascii="黑体" w:hAnsi="黑体" w:eastAsia="黑体" w:cs="黑体"/>
          <w:bCs/>
          <w:color w:val="000000"/>
          <w:sz w:val="32"/>
          <w:szCs w:val="32"/>
          <w:highlight w:val="none"/>
        </w:rPr>
        <w:t>九、财政拨款“三公”经费支出决算情况说明</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val="0"/>
          <w:color w:val="000000"/>
          <w:sz w:val="32"/>
          <w:szCs w:val="32"/>
          <w:highlight w:val="none"/>
        </w:rPr>
      </w:pPr>
      <w:r>
        <w:rPr>
          <w:rFonts w:hint="eastAsia" w:ascii="楷体" w:hAnsi="楷体" w:eastAsia="楷体" w:cs="楷体"/>
          <w:b/>
          <w:bCs w:val="0"/>
          <w:color w:val="000000"/>
          <w:sz w:val="32"/>
          <w:szCs w:val="32"/>
          <w:highlight w:val="none"/>
        </w:rPr>
        <w:t>（一）财政拨款“三公”经费支出决算总体情况说明。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年度财政拨款“三公”经费支出预算为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万元，支出决算为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w:t>
      </w:r>
      <w:r>
        <w:rPr>
          <w:rFonts w:hint="default" w:ascii="Times New Roman" w:hAnsi="Times New Roman" w:eastAsia="仿宋_GB2312" w:cs="Times New Roman"/>
          <w:sz w:val="32"/>
          <w:szCs w:val="32"/>
        </w:rPr>
        <w:t>与2022年度相比，“三公”经费支出增加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kinsoku/>
        <w:wordWrap/>
        <w:overflowPunct/>
        <w:topLinePunct w:val="0"/>
        <w:autoSpaceDE/>
        <w:autoSpaceDN/>
        <w:bidi w:val="0"/>
        <w:adjustRightInd/>
        <w:snapToGrid/>
        <w:spacing w:line="240" w:lineRule="auto"/>
        <w:ind w:left="0" w:leftChars="0" w:firstLine="640"/>
        <w:textAlignment w:val="auto"/>
        <w:rPr>
          <w:rFonts w:hint="eastAsia" w:ascii="楷体" w:hAnsi="楷体" w:eastAsia="楷体" w:cs="楷体"/>
          <w:b/>
          <w:bCs/>
          <w:color w:val="000000"/>
          <w:sz w:val="32"/>
          <w:szCs w:val="32"/>
          <w:highlight w:val="none"/>
        </w:rPr>
      </w:pPr>
      <w:r>
        <w:rPr>
          <w:rFonts w:hint="eastAsia" w:ascii="楷体" w:hAnsi="楷体" w:eastAsia="楷体" w:cs="楷体"/>
          <w:b/>
          <w:bCs/>
          <w:color w:val="000000"/>
          <w:sz w:val="32"/>
          <w:szCs w:val="32"/>
          <w:highlight w:val="none"/>
        </w:rPr>
        <w:t>（二）财政拨款“三公”经费支出决算具体情况说明。</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年度财政拨款“三公”经费支出决算中，因公出国（境）费支出决算</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万元；公务用车购置及运行维护费支出决算</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万元；公务接待费支出决算</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万元。具体情况如下：</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1.因公出国（境）费支出0万元。</w:t>
      </w:r>
      <w:r>
        <w:rPr>
          <w:rFonts w:hint="default" w:ascii="Times New Roman" w:hAnsi="Times New Roman" w:eastAsia="仿宋_GB2312" w:cs="Times New Roman"/>
          <w:sz w:val="32"/>
          <w:szCs w:val="32"/>
        </w:rPr>
        <w:t>全年安排因公出国（境）团组0个，因公出国（境）0人次。</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2.公务用车购置及运行维护费支出0万元。</w:t>
      </w:r>
      <w:r>
        <w:rPr>
          <w:rFonts w:hint="eastAsia" w:ascii="仿宋_GB2312" w:hAnsi="仿宋_GB2312" w:eastAsia="仿宋_GB2312" w:cs="仿宋_GB2312"/>
          <w:sz w:val="32"/>
          <w:szCs w:val="32"/>
        </w:rPr>
        <w:t>其中：</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sz w:val="32"/>
          <w:szCs w:val="32"/>
        </w:rPr>
        <w:t>公务用车购置支出</w:t>
      </w:r>
      <w:r>
        <w:rPr>
          <w:rFonts w:hint="default" w:ascii="Times New Roman" w:hAnsi="Times New Roman" w:eastAsia="仿宋_GB2312" w:cs="Times New Roman"/>
          <w:sz w:val="32"/>
          <w:szCs w:val="32"/>
        </w:rPr>
        <w:t>0万元，全年购置公务用车0辆，年末公务用车保有量0辆。</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sz w:val="32"/>
          <w:szCs w:val="32"/>
        </w:rPr>
        <w:t>公务用车运行维护费</w:t>
      </w:r>
      <w:r>
        <w:rPr>
          <w:rFonts w:hint="default" w:ascii="Times New Roman" w:hAnsi="Times New Roman" w:eastAsia="仿宋_GB2312" w:cs="Times New Roman"/>
          <w:sz w:val="32"/>
          <w:szCs w:val="32"/>
        </w:rPr>
        <w:t>支出0万元。</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3.公务接待费支出0万元，</w:t>
      </w:r>
      <w:r>
        <w:rPr>
          <w:rFonts w:hint="eastAsia" w:ascii="仿宋_GB2312" w:hAnsi="仿宋_GB2312" w:eastAsia="仿宋_GB2312" w:cs="仿宋_GB2312"/>
          <w:sz w:val="32"/>
          <w:szCs w:val="32"/>
        </w:rPr>
        <w:t>其中：</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sz w:val="32"/>
          <w:szCs w:val="32"/>
        </w:rPr>
        <w:t>国内接待费</w:t>
      </w:r>
      <w:r>
        <w:rPr>
          <w:rFonts w:hint="default" w:ascii="Times New Roman" w:hAnsi="Times New Roman" w:eastAsia="仿宋_GB2312" w:cs="Times New Roman"/>
          <w:sz w:val="32"/>
          <w:szCs w:val="32"/>
        </w:rPr>
        <w:t>支出0万元，国内公务接待0批次，接待0人次。</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国（境）外接待费支出0万元，国（境）外公务接待0批次，接待0人次。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十、预算绩效情况说明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（一）</w:t>
      </w:r>
      <w:r>
        <w:rPr>
          <w:rFonts w:hint="eastAsia" w:ascii="楷体" w:hAnsi="楷体" w:eastAsia="楷体" w:cs="楷体"/>
          <w:b w:val="0"/>
          <w:bCs/>
          <w:color w:val="000000"/>
          <w:sz w:val="32"/>
          <w:szCs w:val="32"/>
          <w:highlight w:val="none"/>
        </w:rPr>
        <w:t>绩效管理工作开展情况。</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lang w:val="en-US" w:eastAsia="zh-CN" w:bidi="ar"/>
        </w:rPr>
      </w:pPr>
      <w:r>
        <w:rPr>
          <w:rFonts w:hint="default" w:ascii="Times New Roman" w:hAnsi="Times New Roman" w:eastAsia="仿宋_GB2312" w:cs="Times New Roman"/>
          <w:color w:val="auto"/>
          <w:sz w:val="32"/>
          <w:szCs w:val="32"/>
          <w:highlight w:val="none"/>
        </w:rPr>
        <w:t>根据预算管理要求，我单位组织对</w:t>
      </w:r>
      <w:r>
        <w:rPr>
          <w:rFonts w:hint="default" w:ascii="Times New Roman" w:hAnsi="Times New Roman" w:eastAsia="仿宋_GB2312" w:cs="Times New Roman"/>
          <w:color w:val="auto"/>
          <w:sz w:val="32"/>
          <w:szCs w:val="32"/>
          <w:highlight w:val="none"/>
          <w:lang w:eastAsia="zh-CN"/>
        </w:rPr>
        <w:t>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年度</w:t>
      </w:r>
      <w:r>
        <w:rPr>
          <w:rFonts w:hint="default" w:ascii="Times New Roman" w:hAnsi="Times New Roman" w:eastAsia="仿宋_GB2312" w:cs="Times New Roman"/>
          <w:color w:val="auto"/>
          <w:sz w:val="32"/>
          <w:szCs w:val="32"/>
          <w:highlight w:val="none"/>
        </w:rPr>
        <w:t>一般公共预算项目支出全面开展绩效自评</w:t>
      </w:r>
      <w:r>
        <w:rPr>
          <w:rFonts w:hint="default" w:ascii="Times New Roman" w:hAnsi="Times New Roman" w:eastAsia="仿宋_GB2312" w:cs="Times New Roman"/>
          <w:color w:val="auto"/>
          <w:sz w:val="32"/>
          <w:szCs w:val="32"/>
          <w:lang w:bidi="ar"/>
        </w:rPr>
        <w:t>。</w:t>
      </w:r>
      <w:r>
        <w:rPr>
          <w:rFonts w:hint="eastAsia" w:eastAsia="仿宋_GB2312" w:cs="Times New Roman"/>
          <w:color w:val="auto"/>
          <w:sz w:val="32"/>
          <w:szCs w:val="32"/>
          <w:lang w:eastAsia="zh-CN" w:bidi="ar"/>
        </w:rPr>
        <w:t>涉及绩效自评预算项目为综合运行、监督管理等</w:t>
      </w:r>
      <w:r>
        <w:rPr>
          <w:rFonts w:hint="eastAsia" w:eastAsia="仿宋_GB2312" w:cs="Times New Roman"/>
          <w:color w:val="auto"/>
          <w:sz w:val="32"/>
          <w:szCs w:val="32"/>
          <w:lang w:val="en-US" w:eastAsia="zh-CN" w:bidi="ar"/>
        </w:rPr>
        <w:t>2个项目，受机构改革影响，因单位优化合并，原有预算项目支出受影响，无法体现绩效目标落实。</w:t>
      </w:r>
      <w:bookmarkStart w:id="113" w:name="_GoBack"/>
      <w:bookmarkEnd w:id="113"/>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eastAsia="zh-CN"/>
        </w:rPr>
        <w:t>（二）部门决算中项目绩效自评结果</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楷体" w:hAnsi="楷体" w:eastAsia="楷体" w:cs="楷体"/>
          <w:b w:val="0"/>
          <w:bCs/>
          <w:color w:val="000000"/>
          <w:sz w:val="32"/>
          <w:szCs w:val="32"/>
          <w:highlight w:val="none"/>
          <w:lang w:eastAsia="zh-CN"/>
        </w:rPr>
      </w:pPr>
      <w:r>
        <w:rPr>
          <w:rFonts w:hint="eastAsia" w:ascii="楷体" w:hAnsi="楷体" w:eastAsia="楷体" w:cs="楷体"/>
          <w:b w:val="0"/>
          <w:bCs/>
          <w:color w:val="000000"/>
          <w:sz w:val="32"/>
          <w:szCs w:val="32"/>
          <w:highlight w:val="none"/>
          <w:lang w:eastAsia="zh-CN"/>
        </w:rPr>
        <w:t>（三）</w:t>
      </w:r>
      <w:r>
        <w:rPr>
          <w:rFonts w:hint="eastAsia" w:ascii="楷体" w:hAnsi="楷体" w:eastAsia="楷体" w:cs="楷体"/>
          <w:b w:val="0"/>
          <w:bCs/>
          <w:color w:val="000000"/>
          <w:sz w:val="32"/>
          <w:szCs w:val="32"/>
          <w:highlight w:val="none"/>
          <w:lang w:val="en-US" w:eastAsia="zh-CN"/>
        </w:rPr>
        <w:t>部门评价结果（预算部门填写，部门所属单位不需填写）</w:t>
      </w:r>
      <w:r>
        <w:rPr>
          <w:rFonts w:hint="eastAsia" w:ascii="楷体" w:hAnsi="楷体" w:eastAsia="楷体" w:cs="楷体"/>
          <w:b w:val="0"/>
          <w:bCs/>
          <w:color w:val="00000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color w:val="00000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
        </w:rPr>
        <w:t>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楷体" w:hAnsi="楷体" w:eastAsia="楷体" w:cs="楷体"/>
          <w:b w:val="0"/>
          <w:bCs/>
          <w:color w:val="000000"/>
          <w:sz w:val="32"/>
          <w:szCs w:val="32"/>
          <w:highlight w:val="none"/>
          <w:lang w:eastAsia="zh-CN"/>
        </w:rPr>
      </w:pPr>
      <w:r>
        <w:rPr>
          <w:rFonts w:hint="eastAsia" w:ascii="楷体" w:hAnsi="楷体" w:eastAsia="楷体" w:cs="楷体"/>
          <w:b w:val="0"/>
          <w:bCs/>
          <w:color w:val="000000"/>
          <w:sz w:val="32"/>
          <w:szCs w:val="32"/>
          <w:highlight w:val="none"/>
          <w:lang w:eastAsia="zh-CN"/>
        </w:rPr>
        <w:t>（四）财政评价结果（如有）。</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zh-CN"/>
        </w:rPr>
        <w:t>无。</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十一、其他重要事项情况说明</w:t>
      </w:r>
    </w:p>
    <w:p>
      <w:pPr>
        <w:keepNext w:val="0"/>
        <w:keepLines w:val="0"/>
        <w:pageBreakBefore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val="0"/>
          <w:color w:val="000000"/>
          <w:sz w:val="32"/>
          <w:szCs w:val="32"/>
          <w:highlight w:val="none"/>
        </w:rPr>
      </w:pPr>
      <w:bookmarkStart w:id="95" w:name="_Toc5978_WPSOffice_Level2"/>
      <w:bookmarkStart w:id="96" w:name="_Toc15262_WPSOffice_Level2"/>
      <w:bookmarkStart w:id="97" w:name="_Toc23598_WPSOffice_Level2"/>
      <w:bookmarkStart w:id="98" w:name="_Toc32639_WPSOffice_Level2"/>
      <w:bookmarkStart w:id="99" w:name="_Toc15565_WPSOffice_Level2"/>
      <w:bookmarkStart w:id="100" w:name="_Toc18325_WPSOffice_Level2"/>
      <w:r>
        <w:rPr>
          <w:rFonts w:hint="eastAsia" w:ascii="楷体" w:hAnsi="楷体" w:eastAsia="楷体" w:cs="楷体"/>
          <w:b/>
          <w:bCs w:val="0"/>
          <w:color w:val="000000"/>
          <w:sz w:val="32"/>
          <w:szCs w:val="32"/>
          <w:highlight w:val="none"/>
        </w:rPr>
        <w:t>（一）机关运行经费支出情况。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lang w:eastAsia="zh-CN"/>
        </w:rPr>
      </w:pPr>
      <w:bookmarkStart w:id="101" w:name="_Toc23966_WPSOffice_Level2"/>
      <w:bookmarkStart w:id="102" w:name="_Toc3131_WPSOffice_Level2"/>
      <w:bookmarkStart w:id="103" w:name="_Toc25333_WPSOffice_Level2"/>
      <w:bookmarkStart w:id="104" w:name="_Toc30383_WPSOffice_Level2"/>
      <w:bookmarkStart w:id="105" w:name="_Toc32689_WPSOffice_Level2"/>
      <w:bookmarkStart w:id="106" w:name="_Toc13084_WPSOffice_Level2"/>
      <w:r>
        <w:rPr>
          <w:rFonts w:hint="default" w:ascii="Times New Roman" w:hAnsi="Times New Roman" w:eastAsia="仿宋_GB2312" w:cs="Times New Roman"/>
          <w:color w:val="auto"/>
          <w:sz w:val="32"/>
          <w:szCs w:val="32"/>
          <w:lang w:eastAsia="zh-CN"/>
        </w:rPr>
        <w:t>三亚市港航管理处</w:t>
      </w:r>
      <w:r>
        <w:rPr>
          <w:rFonts w:hint="eastAsia" w:eastAsia="仿宋_GB2312" w:cs="Times New Roman"/>
          <w:color w:val="auto"/>
          <w:sz w:val="32"/>
          <w:szCs w:val="32"/>
          <w:lang w:val="en-US" w:eastAsia="zh-CN"/>
        </w:rPr>
        <w:t>为事业单位，无机关运行经费支出。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val="0"/>
          <w:color w:val="000000"/>
          <w:sz w:val="32"/>
          <w:szCs w:val="32"/>
          <w:highlight w:val="none"/>
        </w:rPr>
      </w:pPr>
      <w:r>
        <w:rPr>
          <w:rFonts w:hint="eastAsia" w:ascii="楷体" w:hAnsi="楷体" w:eastAsia="楷体" w:cs="楷体"/>
          <w:b/>
          <w:bCs w:val="0"/>
          <w:color w:val="000000"/>
          <w:sz w:val="32"/>
          <w:szCs w:val="32"/>
          <w:highlight w:val="none"/>
        </w:rPr>
        <w:t>（二）政府采购支出情况。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w:t>
      </w:r>
      <w:r>
        <w:rPr>
          <w:rFonts w:hint="default" w:ascii="Times New Roman" w:hAnsi="Times New Roman" w:eastAsia="仿宋_GB2312" w:cs="Times New Roman"/>
          <w:color w:val="000000"/>
          <w:sz w:val="32"/>
          <w:szCs w:val="32"/>
          <w:highlight w:val="none"/>
          <w:lang w:eastAsia="zh-CN"/>
        </w:rPr>
        <w:t>三亚市港航管理处</w:t>
      </w:r>
      <w:r>
        <w:rPr>
          <w:rFonts w:hint="default" w:ascii="Times New Roman" w:hAnsi="Times New Roman" w:eastAsia="仿宋_GB2312" w:cs="Times New Roman"/>
          <w:color w:val="000000"/>
          <w:sz w:val="32"/>
          <w:szCs w:val="32"/>
          <w:highlight w:val="none"/>
        </w:rPr>
        <w:t>政府采购支出总额</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万元，其中：政府采购货物支出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万元、政府采购工程支出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万元、政府采购服务支出</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万元。授予中小企业合同金额</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万元，占政府采购支出总额的</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%，其中：授予小微企业合同金额</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万元，占</w:t>
      </w:r>
      <w:r>
        <w:rPr>
          <w:rFonts w:hint="default" w:ascii="Times New Roman" w:hAnsi="Times New Roman" w:eastAsia="仿宋_GB2312" w:cs="Times New Roman"/>
          <w:color w:val="000000"/>
          <w:kern w:val="0"/>
          <w:sz w:val="32"/>
          <w:szCs w:val="32"/>
          <w:highlight w:val="none"/>
          <w:lang w:bidi="ar"/>
        </w:rPr>
        <w:t>授予中小企业合同金额</w:t>
      </w:r>
      <w:r>
        <w:rPr>
          <w:rFonts w:hint="default" w:ascii="Times New Roman" w:hAnsi="Times New Roman" w:eastAsia="仿宋_GB2312" w:cs="Times New Roman"/>
          <w:color w:val="000000"/>
          <w:sz w:val="32"/>
          <w:szCs w:val="32"/>
          <w:highlight w:val="none"/>
        </w:rPr>
        <w:t>的</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textAlignment w:val="auto"/>
        <w:rPr>
          <w:rFonts w:hint="eastAsia" w:ascii="楷体" w:hAnsi="楷体" w:eastAsia="楷体" w:cs="楷体"/>
          <w:b/>
          <w:bCs w:val="0"/>
          <w:color w:val="000000"/>
          <w:sz w:val="32"/>
          <w:szCs w:val="32"/>
          <w:highlight w:val="none"/>
        </w:rPr>
      </w:pPr>
      <w:bookmarkStart w:id="107" w:name="_Toc15129_WPSOffice_Level2"/>
      <w:bookmarkStart w:id="108" w:name="_Toc10902_WPSOffice_Level2"/>
      <w:bookmarkStart w:id="109" w:name="_Toc6016_WPSOffice_Level2"/>
      <w:bookmarkStart w:id="110" w:name="_Toc19989_WPSOffice_Level2"/>
      <w:bookmarkStart w:id="111" w:name="_Toc527_WPSOffice_Level2"/>
      <w:bookmarkStart w:id="112" w:name="_Toc29584_WPSOffice_Level2"/>
      <w:r>
        <w:rPr>
          <w:rFonts w:hint="eastAsia" w:ascii="楷体" w:hAnsi="楷体" w:eastAsia="楷体" w:cs="楷体"/>
          <w:b/>
          <w:bCs w:val="0"/>
          <w:color w:val="000000"/>
          <w:sz w:val="32"/>
          <w:szCs w:val="32"/>
          <w:highlight w:val="none"/>
        </w:rPr>
        <w:t>（三）国有资产占用情况。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bCs/>
          <w:color w:val="000000"/>
          <w:sz w:val="32"/>
          <w:szCs w:val="32"/>
          <w:highlight w:val="none"/>
        </w:rPr>
        <w:t>截至202</w:t>
      </w:r>
      <w:r>
        <w:rPr>
          <w:rFonts w:hint="default" w:ascii="Times New Roman" w:hAnsi="Times New Roman" w:eastAsia="仿宋_GB2312" w:cs="Times New Roman"/>
          <w:bCs/>
          <w:color w:val="000000"/>
          <w:sz w:val="32"/>
          <w:szCs w:val="32"/>
          <w:highlight w:val="none"/>
          <w:lang w:val="en-US" w:eastAsia="zh-CN"/>
        </w:rPr>
        <w:t>3</w:t>
      </w:r>
      <w:r>
        <w:rPr>
          <w:rFonts w:hint="default" w:ascii="Times New Roman" w:hAnsi="Times New Roman" w:eastAsia="仿宋_GB2312" w:cs="Times New Roman"/>
          <w:bCs/>
          <w:color w:val="000000"/>
          <w:sz w:val="32"/>
          <w:szCs w:val="32"/>
          <w:highlight w:val="none"/>
        </w:rPr>
        <w:t>年12月31日，本部门拥有</w:t>
      </w:r>
      <w:r>
        <w:rPr>
          <w:rFonts w:hint="default" w:ascii="Times New Roman" w:hAnsi="Times New Roman" w:eastAsia="仿宋_GB2312" w:cs="Times New Roman"/>
          <w:color w:val="000000"/>
          <w:sz w:val="32"/>
          <w:szCs w:val="32"/>
          <w:highlight w:val="none"/>
        </w:rPr>
        <w:t>房屋面积</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平方米，其中：办公用房</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平方米，业务用房</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平方米，其他（不含构筑物）</w:t>
      </w:r>
      <w:r>
        <w:rPr>
          <w:rFonts w:hint="default" w:ascii="Times New Roman" w:hAnsi="Times New Roman" w:eastAsia="仿宋_GB2312" w:cs="Times New Roman"/>
          <w:color w:val="000000"/>
          <w:sz w:val="32"/>
          <w:szCs w:val="32"/>
          <w:highlight w:val="none"/>
          <w:lang w:val="en-US" w:eastAsia="zh-CN"/>
        </w:rPr>
        <w:t>0</w:t>
      </w:r>
      <w:r>
        <w:rPr>
          <w:rFonts w:hint="default" w:ascii="Times New Roman" w:hAnsi="Times New Roman" w:eastAsia="仿宋_GB2312" w:cs="Times New Roman"/>
          <w:color w:val="000000"/>
          <w:sz w:val="32"/>
          <w:szCs w:val="32"/>
          <w:highlight w:val="none"/>
        </w:rPr>
        <w:t>平方米。</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本部门共有车辆</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辆，其中，副部（省）级及以上领导用车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辆、主要负责人用车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辆、机要通信用车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辆、应急保障用车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辆、执法执勤用车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辆、特种专业技术用车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辆、离退休干部服务用车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辆、其他用车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辆。单价100万元（含）以上设备（不含车辆）</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台（套）。</w:t>
      </w:r>
    </w:p>
    <w:p>
      <w:pPr>
        <w:keepNext w:val="0"/>
        <w:keepLines w:val="0"/>
        <w:pageBreakBefore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ˎ̥" w:eastAsia="仿宋_GB2312"/>
          <w:color w:val="000000"/>
          <w:sz w:val="32"/>
          <w:szCs w:val="32"/>
          <w:highlight w:val="none"/>
        </w:rPr>
      </w:pPr>
      <w:r>
        <w:rPr>
          <w:rFonts w:hint="default" w:ascii="Times New Roman" w:hAnsi="Times New Roman" w:eastAsia="仿宋_GB2312" w:cs="Times New Roman"/>
          <w:color w:val="auto"/>
          <w:sz w:val="32"/>
          <w:szCs w:val="32"/>
        </w:rPr>
        <w:t>年末在建工程</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第四部分  名词解释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ˎ̥" w:eastAsia="仿宋_GB2312"/>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lang w:eastAsia="zh-CN"/>
        </w:rPr>
        <w:t>一、</w:t>
      </w:r>
      <w:r>
        <w:rPr>
          <w:rFonts w:hint="eastAsia" w:ascii="仿宋_GB2312" w:hAnsi="ˎ̥" w:eastAsia="仿宋_GB2312"/>
          <w:b/>
          <w:bCs/>
          <w:sz w:val="32"/>
          <w:szCs w:val="32"/>
        </w:rPr>
        <w:t>财政拨款收入：</w:t>
      </w:r>
      <w:r>
        <w:rPr>
          <w:rFonts w:hint="eastAsia" w:ascii="仿宋_GB2312" w:hAnsi="ˎ̥" w:eastAsia="仿宋_GB2312"/>
          <w:sz w:val="32"/>
          <w:szCs w:val="32"/>
        </w:rPr>
        <w:t>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二、上级补助收入：</w:t>
      </w:r>
      <w:r>
        <w:rPr>
          <w:rFonts w:hint="eastAsia" w:ascii="仿宋_GB2312" w:hAnsi="ˎ̥" w:eastAsia="仿宋_GB2312"/>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三、事业收入：</w:t>
      </w:r>
      <w:r>
        <w:rPr>
          <w:rFonts w:hint="eastAsia" w:ascii="仿宋_GB2312" w:hAnsi="ˎ̥" w:eastAsia="仿宋_GB2312"/>
          <w:sz w:val="32"/>
          <w:szCs w:val="32"/>
        </w:rPr>
        <w:t>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四、经营收入：</w:t>
      </w:r>
      <w:r>
        <w:rPr>
          <w:rFonts w:hint="eastAsia" w:ascii="仿宋_GB2312" w:hAnsi="ˎ̥" w:eastAsia="仿宋_GB2312"/>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五、附属单位上缴收入：</w:t>
      </w:r>
      <w:r>
        <w:rPr>
          <w:rFonts w:hint="eastAsia" w:ascii="仿宋_GB2312" w:hAnsi="ˎ̥" w:eastAsia="仿宋_GB2312"/>
          <w:sz w:val="32"/>
          <w:szCs w:val="32"/>
        </w:rPr>
        <w:t>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六、其他收入：</w:t>
      </w:r>
      <w:r>
        <w:rPr>
          <w:rFonts w:hint="eastAsia" w:ascii="仿宋_GB2312" w:hAnsi="ˎ̥" w:eastAsia="仿宋_GB2312"/>
          <w:sz w:val="32"/>
          <w:szCs w:val="32"/>
        </w:rPr>
        <w:t>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七、使用非财政拨款结余：</w:t>
      </w:r>
      <w:r>
        <w:rPr>
          <w:rFonts w:hint="eastAsia" w:ascii="仿宋_GB2312" w:hAnsi="ˎ̥" w:eastAsia="仿宋_GB2312"/>
          <w:sz w:val="32"/>
          <w:szCs w:val="32"/>
        </w:rPr>
        <w:t>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八、年初结转和结余：</w:t>
      </w:r>
      <w:r>
        <w:rPr>
          <w:rFonts w:hint="eastAsia" w:ascii="仿宋_GB2312" w:hAnsi="ˎ̥" w:eastAsia="仿宋_GB2312"/>
          <w:sz w:val="32"/>
          <w:szCs w:val="32"/>
        </w:rPr>
        <w:t>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九、结余分配：</w:t>
      </w:r>
      <w:r>
        <w:rPr>
          <w:rFonts w:hint="eastAsia" w:ascii="仿宋_GB2312" w:hAnsi="ˎ̥" w:eastAsia="仿宋_GB2312"/>
          <w:sz w:val="32"/>
          <w:szCs w:val="32"/>
        </w:rPr>
        <w:t>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十、年末结转和结余：</w:t>
      </w:r>
      <w:r>
        <w:rPr>
          <w:rFonts w:hint="eastAsia" w:ascii="仿宋_GB2312" w:hAnsi="ˎ̥" w:eastAsia="仿宋_GB2312"/>
          <w:sz w:val="32"/>
          <w:szCs w:val="32"/>
        </w:rPr>
        <w:t>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十一、基本支出：</w:t>
      </w:r>
      <w:r>
        <w:rPr>
          <w:rFonts w:hint="eastAsia" w:ascii="仿宋_GB2312" w:hAnsi="ˎ̥" w:eastAsia="仿宋_GB2312"/>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十二、项目支出：</w:t>
      </w:r>
      <w:r>
        <w:rPr>
          <w:rFonts w:hint="eastAsia" w:ascii="仿宋_GB2312" w:hAnsi="ˎ̥" w:eastAsia="仿宋_GB2312"/>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十三、经营支出：</w:t>
      </w:r>
      <w:r>
        <w:rPr>
          <w:rFonts w:hint="eastAsia" w:ascii="仿宋_GB2312" w:hAnsi="ˎ̥" w:eastAsia="仿宋_GB2312"/>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十四、“三公”经费：</w:t>
      </w:r>
      <w:r>
        <w:rPr>
          <w:rFonts w:hint="eastAsia" w:ascii="仿宋_GB2312" w:hAnsi="ˎ̥" w:eastAsia="仿宋_GB2312"/>
          <w:sz w:val="32"/>
          <w:szCs w:val="32"/>
        </w:rPr>
        <w:t>纳入本级财政预决算管理的“三公”经费，是指用一般公共预算财政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240" w:lineRule="auto"/>
        <w:ind w:firstLine="645"/>
        <w:textAlignment w:val="auto"/>
        <w:rPr>
          <w:rFonts w:hint="eastAsia" w:ascii="仿宋_GB2312" w:hAnsi="ˎ̥" w:eastAsia="仿宋_GB2312"/>
          <w:sz w:val="32"/>
          <w:szCs w:val="32"/>
        </w:rPr>
      </w:pPr>
      <w:r>
        <w:rPr>
          <w:rFonts w:hint="eastAsia" w:ascii="仿宋_GB2312" w:hAnsi="ˎ̥" w:eastAsia="仿宋_GB2312"/>
          <w:b/>
          <w:bCs/>
          <w:sz w:val="32"/>
          <w:szCs w:val="32"/>
        </w:rPr>
        <w:t>十五、机关运行经费：</w:t>
      </w:r>
      <w:r>
        <w:rPr>
          <w:rFonts w:hint="eastAsia" w:ascii="仿宋_GB2312" w:hAnsi="ˎ̥" w:eastAsia="仿宋_GB2312"/>
          <w:sz w:val="32"/>
          <w:szCs w:val="32"/>
        </w:rPr>
        <w:t>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240" w:lineRule="auto"/>
        <w:ind w:firstLine="645"/>
        <w:textAlignment w:val="auto"/>
        <w:rPr>
          <w:rFonts w:hint="eastAsia" w:ascii="仿宋_GB2312" w:hAnsi="ˎ̥" w:eastAsia="仿宋_GB2312"/>
          <w:sz w:val="32"/>
          <w:szCs w:val="32"/>
          <w:lang w:eastAsia="zh-CN"/>
        </w:rPr>
      </w:pPr>
    </w:p>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ˎ̥">
    <w:altName w:val="汉仪新人文宋简"/>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2"/>
                            <w:rPr>
                              <w:rStyle w:val="5"/>
                            </w:rPr>
                          </w:pPr>
                          <w:r>
                            <w:rPr>
                              <w:rStyle w:val="5"/>
                            </w:rPr>
                            <w:t xml:space="preserve">— </w:t>
                          </w:r>
                          <w:r>
                            <w:fldChar w:fldCharType="begin"/>
                          </w:r>
                          <w:r>
                            <w:rPr>
                              <w:rStyle w:val="5"/>
                            </w:rPr>
                            <w:instrText xml:space="preserve"> PAGE  \* MERGEFORMAT </w:instrText>
                          </w:r>
                          <w:r>
                            <w:fldChar w:fldCharType="separate"/>
                          </w:r>
                          <w:r>
                            <w:rPr>
                              <w:rStyle w:val="5"/>
                            </w:rPr>
                            <w:t>1</w:t>
                          </w:r>
                          <w:r>
                            <w:fldChar w:fldCharType="end"/>
                          </w:r>
                          <w:r>
                            <w:rPr>
                              <w:rStyle w:val="5"/>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2"/>
                      <w:rPr>
                        <w:rStyle w:val="5"/>
                      </w:rPr>
                    </w:pPr>
                    <w:r>
                      <w:rPr>
                        <w:rStyle w:val="5"/>
                      </w:rPr>
                      <w:t xml:space="preserve">— </w:t>
                    </w:r>
                    <w:r>
                      <w:fldChar w:fldCharType="begin"/>
                    </w:r>
                    <w:r>
                      <w:rPr>
                        <w:rStyle w:val="5"/>
                      </w:rPr>
                      <w:instrText xml:space="preserve"> PAGE  \* MERGEFORMAT </w:instrText>
                    </w:r>
                    <w:r>
                      <w:fldChar w:fldCharType="separate"/>
                    </w:r>
                    <w:r>
                      <w:rPr>
                        <w:rStyle w:val="5"/>
                      </w:rPr>
                      <w:t>1</w:t>
                    </w:r>
                    <w:r>
                      <w:fldChar w:fldCharType="end"/>
                    </w:r>
                    <w:r>
                      <w:rPr>
                        <w:rStyle w:val="5"/>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109F8D"/>
    <w:multiLevelType w:val="singleLevel"/>
    <w:tmpl w:val="72109F8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A76D1"/>
    <w:rsid w:val="01AA76D1"/>
    <w:rsid w:val="01DC03C7"/>
    <w:rsid w:val="03AE6EF6"/>
    <w:rsid w:val="03D70CC9"/>
    <w:rsid w:val="04CE36AE"/>
    <w:rsid w:val="05BD0C05"/>
    <w:rsid w:val="06C902D3"/>
    <w:rsid w:val="07FC247A"/>
    <w:rsid w:val="125A36BA"/>
    <w:rsid w:val="13AD4391"/>
    <w:rsid w:val="18A81CB0"/>
    <w:rsid w:val="18B4298F"/>
    <w:rsid w:val="19A91E65"/>
    <w:rsid w:val="1DEF7D4B"/>
    <w:rsid w:val="1EBE6889"/>
    <w:rsid w:val="1F206E98"/>
    <w:rsid w:val="235019A9"/>
    <w:rsid w:val="24AE34F7"/>
    <w:rsid w:val="2CD20FCF"/>
    <w:rsid w:val="31025976"/>
    <w:rsid w:val="347254E8"/>
    <w:rsid w:val="348A2597"/>
    <w:rsid w:val="36355755"/>
    <w:rsid w:val="38B94FCA"/>
    <w:rsid w:val="3AC84B8F"/>
    <w:rsid w:val="3DE98DA1"/>
    <w:rsid w:val="3E3F0BC9"/>
    <w:rsid w:val="40AD7912"/>
    <w:rsid w:val="469964B2"/>
    <w:rsid w:val="48D5143A"/>
    <w:rsid w:val="4918229B"/>
    <w:rsid w:val="491F103B"/>
    <w:rsid w:val="497C34EA"/>
    <w:rsid w:val="4C4C5AF7"/>
    <w:rsid w:val="4FA86F28"/>
    <w:rsid w:val="51D00DDB"/>
    <w:rsid w:val="54283501"/>
    <w:rsid w:val="54866A18"/>
    <w:rsid w:val="55DF3DE3"/>
    <w:rsid w:val="55F20158"/>
    <w:rsid w:val="595E5D62"/>
    <w:rsid w:val="59C321F8"/>
    <w:rsid w:val="5CB07B7A"/>
    <w:rsid w:val="65694916"/>
    <w:rsid w:val="67EE2643"/>
    <w:rsid w:val="697ED136"/>
    <w:rsid w:val="6A387DB0"/>
    <w:rsid w:val="6D471B4B"/>
    <w:rsid w:val="6F404DFF"/>
    <w:rsid w:val="71826080"/>
    <w:rsid w:val="72462A4D"/>
    <w:rsid w:val="738063F3"/>
    <w:rsid w:val="76861E5B"/>
    <w:rsid w:val="768A54AC"/>
    <w:rsid w:val="7C0E476E"/>
    <w:rsid w:val="7CD226C2"/>
    <w:rsid w:val="7D7BBA3A"/>
    <w:rsid w:val="7DB7596B"/>
    <w:rsid w:val="7FB39C38"/>
    <w:rsid w:val="93FF7D1E"/>
    <w:rsid w:val="BFFEE627"/>
    <w:rsid w:val="C5CD528E"/>
    <w:rsid w:val="EFFE6B44"/>
    <w:rsid w:val="F37F240B"/>
    <w:rsid w:val="F3F6CE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 w:type="paragraph" w:customStyle="1" w:styleId="6">
    <w:name w:val="WPSOffice手动目录 1"/>
    <w:qFormat/>
    <w:uiPriority w:val="0"/>
    <w:rPr>
      <w:rFonts w:ascii="Times New Roman" w:hAnsi="Times New Roman" w:eastAsia="宋体" w:cs="Times New Roman"/>
      <w:lang w:val="en-US" w:eastAsia="zh-CN" w:bidi="ar-SA"/>
    </w:rPr>
  </w:style>
  <w:style w:type="paragraph" w:customStyle="1" w:styleId="7">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吉阳区</Company>
  <Pages>1</Pages>
  <Words>0</Words>
  <Characters>0</Characters>
  <Lines>0</Lines>
  <Paragraphs>0</Paragraphs>
  <TotalTime>21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2024-10-22T09:25:00Z</dcterms:created>
  <dc:creator>梁启雄</dc:creator>
  <cp:lastModifiedBy>uos</cp:lastModifiedBy>
  <dcterms:modified xsi:type="dcterms:W3CDTF">2024-10-25T17:43:36Z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